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p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5, 2026</w:t>
      </w:r>
    </w:p>
    <w:p>
      <w:pPr>
        <w:pStyle w:val="TextBody"/>
        <w:bidi w:val="0"/>
        <w:spacing w:before="0" w:after="240"/>
        <w:jc w:val="center"/>
      </w:pPr>
      <w:r>
        <w:drawing>
          <wp:inline distT="0" distB="0" distL="0" distR="0">
            <wp:extent cx="9144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143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GLOBUS MEDICAL, INC.</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001-35621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04-3744954</w:t>
            </w:r>
          </w:p>
        </w:tc>
      </w:tr>
      <w:t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2560 GENERAL ARMISTEAD AVENUE, AUDUBON, PA 19403-5214</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(610) 930-1800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73" w:type="dxa"/>
        <w:jc w:val="center"/>
        <w:tblInd w:w="0" w:type="dxa"/>
        <w:tblLayout w:type="fixed"/>
        <w:tblCellMar>
          <w:top w:w="28" w:type="dxa"/>
          <w:left w:w="28" w:type="dxa"/>
          <w:bottom w:w="28" w:type="dxa"/>
          <w:right w:w="28" w:type="dxa"/>
        </w:tblCellMar>
      </w:tblPr>
      <w:tblGrid>
        <w:gridCol w:w="1501"/>
        <w:gridCol w:w="1319"/>
        <w:gridCol w:w="1334"/>
        <w:gridCol w:w="564"/>
        <w:gridCol w:w="564"/>
        <w:gridCol w:w="566"/>
        <w:gridCol w:w="1118"/>
        <w:gridCol w:w="1118"/>
        <w:gridCol w:w="1589"/>
      </w:tblGrid>
      <w:t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GMED</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0" w:after="20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before="0" w:after="240"/>
        <w:jc w:val="left"/>
      </w:p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5, 2026, Globus Medical, Inc. (the “Company”) issued a press release reporting, among other things, its sales and operating results for the three and nine month period ended September 30, 2026. A copy of the press release is furnished herewith as Exhibit 99.1 and is incorporated herein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included in this Item 2.02, and the exhibit attached hereto, shall be deemed to be “furnished” and shall not be deemed to be “filed” with the Securities and Exchange Commission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November 2, 2026, (the “Repurchase Program Increase Date”), the Company’s Board of Directors authorized the Company to repurchase an additional $500.0 million of its Class A common stock under its existing share repurchase program (the “Repurchase Program Increase”). Following the Repurchase Program Increase, approximately $611.0 million remained available for future share repurchases under the Company’s repurchase program as of the Repurchase Program Increase Date. The timing and actual number of shares repurchased under the repurchase program will be determined by management at its discretion and will depend on a variety of factors, including market price of the shares, general business and market conditions, applicable legal requirements, and alternative investment opportunities. Repurchases may be made through privately negotiated transactions or open market transactions, including pursuant to a trading plan in accordance with Rule 10b5-1 and/or Rule 10b-18 under the Securities Act. The repurchase program has no time limit and may be suspended for periods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9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64"/>
        <w:gridCol w:w="1964"/>
        <w:gridCol w:w="2776"/>
      </w:tblGrid>
      <w:t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gmed-q32026ex991.htm">
              <w:r>
                <w:rPr>
                  <w:rStyle w:val="InternetLink"/>
                  <w:rFonts w:ascii="Times New Roman;serif" w:hAnsi="Times New Roman;serif"/>
                  <w:b w:val="false"/>
                  <w:color w:val="0000FF"/>
                  <w:sz w:val="20"/>
                  <w:u w:val="single"/>
                </w:rPr>
                <w:t>Press Release dated November 5, 2026</w:t>
              </w:r>
            </w:hyperlink>
          </w:p>
        </w:tc>
      </w:tr>
      <w:t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before="0" w:after="240"/>
        <w:jc w:val="left"/>
      </w:p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78" w:type="dxa"/>
        <w:jc w:val="left"/>
        <w:tblInd w:w="0" w:type="dxa"/>
        <w:tblLayout w:type="fixed"/>
        <w:tblCellMar>
          <w:top w:w="28" w:type="dxa"/>
          <w:left w:w="28" w:type="dxa"/>
          <w:bottom w:w="28" w:type="dxa"/>
          <w:right w:w="28" w:type="dxa"/>
        </w:tblCellMar>
      </w:tblPr>
      <w:tblGrid>
        <w:gridCol w:w="238"/>
        <w:gridCol w:w="210"/>
        <w:gridCol w:w="212"/>
        <w:gridCol w:w="534"/>
        <w:gridCol w:w="534"/>
        <w:gridCol w:w="536"/>
        <w:gridCol w:w="705"/>
        <w:gridCol w:w="705"/>
        <w:gridCol w:w="1004"/>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GLOBUS MEDICAL, INC.</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KYLE R. KLINE</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Globus Medical Reports Third Quarter 2026 Results and Announces a $500 Million Increase to the Share Repurchase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AUDUBON, PA., November 5, 2026: Globus Medical, Inc. (NYSE: GMED), a leading musculoskeletal technology company, today announced its financial results for the third quarter ended September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Quarter 2026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Worldwide net sales were $763.7 million, a decrease of 0.7%, or a decrease of 0.5% on a constant currency basis.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Base business sales (non-GAAP), excluding Nevro, were $690.0 million, an increase of 3.0%, as reported.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GAAP net income for the quarter was $141.2 million.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GAAP diluted earnings per share (“EPS”) was $1.04, an increase of 18.2%. Non-GAAP diluted EPS was $1.23, an increase of 4.4%.</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0"/>
        </w:rPr>
        <w:t xml:space="preserve">GAAP gross profit as a percentage of net sales was 66.7%, an increase of 2.5%. Non-GAAP adjusted Gross Profit as a percentage of sales was 69.5%, an increase of 1.4%. </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Third quarter revenue finished at $764 million, down slightly from the prior year quarter,” commented Keith Pfeil, President and Chief Executive Officer. “U.S. Spine faced difficult prior year comparables, growing 2% in the third quarter, as compared to double digit growth in the prior year quarter. On an average two-year basis, the U.S. Spine business is growing mid-single digits, reflecting our ability to capture share in the market, as we lead with innovation and differentiation. Our Enabling Technologies strategy continued to make progress, delivering revenue growth of 24%, while simultaneously deploying 73% more robot and navigation units as compared to the prior year quarter, reflecting continued strong demand for our technology and execution against our capital deployment plan. We remain focused on our long-term strategy of achieving improved surgical outcomes through the Globus ecosystem, bringing together patient selection, surgical techniques with complementary implants and technology to drive the surgical procedure, through a closed-loop surgical intelligence ecosystem.”</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Our third quarter results highlight our Company’s commitment to delivering consistent adjusted gross profit margin expansion, bottom-line profit, and free cash flow generation, as we delivered the eighth straight quarter of sequential adjusted gross profit margin expansion and record quarterly operating cash flow and free cash flow generation,” said Kyle Kline, Chief Financial Officer. “Our performance reflects disciplined execution across the business, which positions us to deliver sustained earnings growth, cash generation, and enhanced shareholder returns. To further this commitment, our Board has authorized a $500 million increase to our existing share repurchase program, which reflects confidence in our long-term growth profile and underlying earnings and cash generation prowess.”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Worldwide net sales for the third quarter of 2026 were $763.7 million, an as-reported decrease of 0.7% over the third quarter of 2025. U.S. net sales for the third quarter of 2026 increased by 0.5% compared to the third quarter of 2025. International net sales decreased by 5.7% over the third quarter of 2025 on an as-reported basis and decreased by 5.0% on a constant currency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GAAP net income for the third quarter of 2026 was $141.2 million, an increase of 18.7% over the same period in the prior year. The increase in GAAP net income was primarily driven by the decrease in cost of sales and operating expenses, decreasing $19.6 million and $25.9 million, respectively, in comparison to the third quarter of 2025. GAAP diluted EPS for the third quarter was $1.04, compared to $0.88 for the third quarter of 2025, an increase of 18.2%. Non-GAAP diluted EPS for the third quarter of 2026, which excludes, among other costs, amortization of intangibles, merger and acquisition-related costs, and restructuring-related costs, was $1.23, compared to $1.18 in the third quarter of 2025, an increase of 4.4%.</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2026 Annual Guidance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updating its guidance for full-year 2026 revenue to $3.09 billion from the previous range of $3.18 billion to $3.22 billion, representing 5.1% revenue growth as compared to fiscal 2025. The Company reaffirms its full-year fiscal 2026 non-GAAP fully diluted EPS guidance to be in the range of $4.95 to $5.05, representing 24.4% to 26.9% growth over fiscal 2025 non-GAAP fully diluted EPS.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Globus Medical will hold a teleconference to discuss its 2026 third quarter results with the investment community at 4:30 p.m. Eastern Time today. Participants may access the conference call live via webcast on the Investors page of Globus Medical’s website at http://www.investors.globusmedical.com/news-events/events-webcasts.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audio archive will be available after the call on the Investor page of the Globus Medical website.</w:t>
      </w:r>
    </w:p>
    <w:p>
      <w:pPr>
        <w:pStyle w:val="TextBody"/>
        <w:bidi w:val="0"/>
        <w:spacing w:before="0" w:after="24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About Globus Medical, Inc.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Globus Medical, Inc. is a leading global musculoskeletal technology company dedicated to solving unmet clinical needs and changing lives. We innovate with inspired urgency, provide world-class education and clinical support, and advance care throughout spine, orthopedic trauma, joint reconstruction, biomaterials and enabling technologies. Additional information can be accessed at www.globusmedical.com.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prepared in accordance with U.S. generally accepted accounting principles (“GAAP”), management uses certain non-GAAP financial measures. For example, non-GAAP Adjusted EBITDA, which represents net income before interest income, net and other non-operating expenses, provision for income taxes, depreciation and amortization, stock-based compensation expense, provision for litigation, merger and acquisition related costs, restructuring related costs, certain foreign currency acquisition-related impacts, bargain purchase gains, and gains and losses from strategic investments, is useful as an additional measure of operating performance, and particularly as a measure of comparative operating performance from period to period, as it is reflective of changes in pricing decisions, cost controls and other factors that affect operating performance, and it removes the effect of our capital structure, asset base, income taxes and interest income and expense. We no longer include acquisition of in-process research and development as an adjustment to non-GAAP Adjusted EBITDA. Our management also uses non-GAAP Adjusted EBITDA for planning purposes, including the preparation of our annual operating budget and financial projections. Provision for litigation represents costs incurred for litigation settlements or unfavorable verdicts when the loss is known or considered probable and the amount can be reasonably estimated, or in the case of a favorable settlement, when income is realized. Merger and acquisition related costs represent the change in fair value of business-acquisition-related contingent consideration; costs related to integrating recently acquired businesses, including but not limited to costs to exit or convert contractual obligations, severance, retention bonus, duplicative costs and information system conversion; and specific costs related to the consummation of the acquisition process such as banker fees, legal fees, and other acquisition related professional fees. Restructuring related costs include severance, retention bonus, accelerated stock-based compensation expense, legal and tax fees for legal entity reorganization and costs associated with consolidating facilities. We also adjusted for certain foreign currency impacts related to the acquisition costs and gains/losses on strategic investments within other assets as we believe these impacts are not a measure of our operating performance.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for the period ended September 30, 2026 and for other comparative periods, we are presenting non-GAAP net income and non-GAAP diluted EPS, which represent net income and diluted EPS excluding the provision for litigation, amortization of intangibles, merger and acquisition related costs, restructuring related costs, certain foreign currency impacts, gains and losses from strategic investments, bargain purchase gains, certain income tax net benefits and non-recurring tax adjustments, and the tax effects of all of the foregoing adjustments. We no longer include acquisition of in-process research and development as an adjustment to non-GAAP net income. We also present non-GAAP adjusted gross profit, which excludes the impacts of any inventory acquisition-related costs within cost of goods sold. The tax effect adjustment represents the tax effect of the pre-tax non-GAAP adjustments excluded from non-GAAP net income. The tax impact of the non-GAAP adjustments is calculated based on the consolidated effective tax rate on a GAAP basis, applied to the non-GAAP adjustments, unless the underlying item has a materially different tax treatment, in which case the estimated tax rate applicable to the adjustment is used. We believe these non-GAAP measures are also useful indicators of our operating performance, and particularly as additional measures of comparative operating performance from period to period as they remove the effects of the foregoing items, which we believe are not reflective of underlying business trends.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for the period ended September 30, 2026 and for other comparative periods, we also define the non-GAAP measure of free cash flow as the net cash provided by operating activities, adjusted for the impact of restricted cash, less the cash impact of purchases of property and equipment. We believe that this financial measure provides meaningful information for evaluating our overall financial performance for comparative periods as it facilitates an assessment of funds available to satisfy current and future obligations and fund acquisitions. Furthermore, the non-GAAP measure of constant currency net sales growth is calculated by translating current year net sales at the same average exchange rates in effect during the applicable prior year period. We believe constant currency net sales growth provides insight to the comparative increase or decrease in period net sales, in dollar and percentage terms, excluding the effects of fluctuations in foreign currency exchange rates. We are also presenting base business sales and revenue growth, excluding the contribution from Nevro Corp. (“Nevro”), which we acquired in 2025. We believe these provide insight to how the Company is performing without the impact of the Nevro acquisition.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Non-GAAP Adjusted EBITDA, non-GAAP net income, non-GAAP diluted EPS, non-GAAP adjusted gross profit, free cash flow, constant currency net sales growth, base business revenue growth, and day-adjusted basis sales are not calculated in conformity with GAAP. Non-GAAP financial measures have limitations as analytical tools and should not be considered in isolation or as a substitute for financial measures prepared in accordance with GAAP. These measures do not include certain expenses that may be necessary to evaluate our liquidity or operating results. Our definitions of these non-GAAP measures may differ from that of other companies and therefore may not be comparable. The tables included in this release reconcile the GAAP financial measures to the non-GAAP financial measures discussed above for the three and nine months ended September 30, 2026 and 2025.</w:t>
      </w:r>
    </w:p>
    <w:p>
      <w:pPr>
        <w:pStyle w:val="TextBody"/>
        <w:bidi w:val="0"/>
        <w:spacing w:before="0" w:after="24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unable to present a quantitative reconciliation of our expected fully diluted GAAP EPS to non-GAAP diluted EPS as we are unable to predict with reasonable certainty and without unreasonable effort the impact and timing of provision for litigation, amortization of intangibles, merger and acquisition-related costs, restructuring related costs, certain foreign currency acquisition-related impacts, bargain purchase gains, certain income tax net benefits from non-recurring tax adjustments, gains and losses from strategic investments, and the tax effects of all of the foregoing adjustments. The financial impact of these items is uncertain and is dependent on various factors, including timing, and could be material to our Consolidated Statements of Income.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Safe Harbor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 industry, general economic conditions, the successful integration of businesses that we have acquired or may acquire in the future, and other risks. For a discussion of these and other risks, uncertainties, and other factors that could affect our results, refer to the disclosures contained in our most recent Annual Report on Form 10-K filed with the U.S. Securities and Exchange Commission (the “SEC”), including the sections labeled “Risk Factors” and “Cautionary Note Concerning Forward-Looking Statements,” and in our subsequent filings with the SEC.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Except as may be required by applicable law, we undertake no obligation to update any forward-looking statements as a result of new information, events or circumstances or other factors arising or coming to our attention after the date hereof. As used herein, the “Company,” “Globus,” “Globus Medical,” “we,” “us,” and “our” refers to Globus Medical,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2, 2026, our Board of Directors authorized the Company to repurchase an additional $500 million of shares of its common stock under our existing share repurchase program (the “Repurchase Program”), which does not have an expiration date. Repurchases under the Repurchase Program may be made through privately negotiated transactions or open market transactions, including pursuant to a trading plan in accordance with Rule 10b5-1 and/or Rule 10b-18 under the Securities Exchange Act of 1934, as amended. The timing and actual number of shares repurchased under the Repurchase Program will be determined by management at its discretion and will depend on a variety of factors, including market price of the shares, general business and market conditions, applicable legal requirements and alternative investment opportunities. The Repurchase Program has no time limit and may be suspended for periods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INCOME</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593"/>
        <w:gridCol w:w="1331"/>
        <w:gridCol w:w="134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5"/>
      </w:tblGrid>
      <w:tr>
        <w:tc>
          <w:tcPr>
            <w:tcW w:w="159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763,719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2,313,185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232,917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708,422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107,360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288,471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873,069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88,660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18,177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177,551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510,371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20,921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19,788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183,268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530,159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42,097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113,117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141,171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417,042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net of tax:</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income/(loss), net of tax</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141,311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413,032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3.04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135,484</w:t>
            </w:r>
          </w:p>
        </w:tc>
      </w:tr>
      <w:tr>
        <w:tc>
          <w:tcPr>
            <w:tcW w:w="4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96"/>
        <w:gridCol w:w="2206"/>
        <w:gridCol w:w="2222"/>
        <w:gridCol w:w="211"/>
        <w:gridCol w:w="991"/>
        <w:gridCol w:w="109"/>
        <w:gridCol w:w="109"/>
        <w:gridCol w:w="109"/>
        <w:gridCol w:w="109"/>
        <w:gridCol w:w="211"/>
        <w:gridCol w:w="976"/>
        <w:gridCol w:w="156"/>
      </w:tblGrid>
      <w:tr>
        <w:tc>
          <w:tcPr>
            <w:tcW w:w="27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7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441,272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76,163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$47,866 and $33,434,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675,297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824,144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116,437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48,651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2,181,964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532,760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56,768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353,738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667,468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1,453,561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75,993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205,941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5,528,193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107,428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326,858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25,820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27,812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507,938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 net of current portion</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80,547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93,378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31,603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18,477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731,943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500,000,000 shares; issued and outstanding 110,235,170 and 112,625,126 shares at September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275,000,000 shares; issued and outstanding 22,430,097 and 22,430,097 shares at September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3,259,292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1,525,490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4,796,250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5,528,193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178" w:type="dxa"/>
        <w:jc w:val="left"/>
        <w:tblInd w:w="0" w:type="dxa"/>
        <w:tblLayout w:type="fixed"/>
        <w:tblCellMar>
          <w:top w:w="28" w:type="dxa"/>
          <w:left w:w="28" w:type="dxa"/>
          <w:bottom w:w="28" w:type="dxa"/>
          <w:right w:w="28" w:type="dxa"/>
        </w:tblCellMar>
      </w:tblPr>
      <w:tblGrid>
        <w:gridCol w:w="2716"/>
        <w:gridCol w:w="2388"/>
        <w:gridCol w:w="2395"/>
        <w:gridCol w:w="211"/>
        <w:gridCol w:w="841"/>
        <w:gridCol w:w="109"/>
        <w:gridCol w:w="109"/>
        <w:gridCol w:w="109"/>
        <w:gridCol w:w="109"/>
        <w:gridCol w:w="211"/>
        <w:gridCol w:w="826"/>
        <w:gridCol w:w="154"/>
      </w:tblGrid>
      <w:tr>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417,042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Bargain purchase gain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209,730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 accounting fair value step 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of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foreign currency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6,664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677,332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66,805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 and purchases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withholdings for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convertible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526,156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487,687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65,804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pPr>
      <w:r/>
    </w:p>
    <w:p>
      <w:pPr>
        <w:pStyle w:val="TextBody"/>
        <w:bidi w:val="0"/>
        <w:spacing w:before="0" w:after="240"/>
        <w:jc w:val="left"/>
      </w:p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and cash equivalents reported on our condensed consolidated balance sheets to the total of the cash, cash equivalents, and restricted cash reported within our condensed consolidated statements of cash flows. </w:t>
      </w:r>
    </w:p>
    <w:tbl>
      <w:tblPr>
        <w:tblW w:w="10205" w:type="dxa"/>
        <w:jc w:val="left"/>
        <w:tblInd w:w="0" w:type="dxa"/>
        <w:tblLayout w:type="fixed"/>
        <w:tblCellMar>
          <w:top w:w="28" w:type="dxa"/>
          <w:left w:w="28" w:type="dxa"/>
          <w:bottom w:w="28" w:type="dxa"/>
          <w:right w:w="28" w:type="dxa"/>
        </w:tblCellMar>
      </w:tblPr>
      <w:tblGrid>
        <w:gridCol w:w="2723"/>
        <w:gridCol w:w="2395"/>
        <w:gridCol w:w="2421"/>
        <w:gridCol w:w="211"/>
        <w:gridCol w:w="826"/>
        <w:gridCol w:w="109"/>
        <w:gridCol w:w="109"/>
        <w:gridCol w:w="109"/>
        <w:gridCol w:w="109"/>
        <w:gridCol w:w="211"/>
        <w:gridCol w:w="826"/>
        <w:gridCol w:w="156"/>
      </w:tblGrid>
      <w:tr>
        <w:tc>
          <w:tcPr>
            <w:tcW w:w="2723"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September 30, </w:t>
            </w:r>
          </w:p>
        </w:tc>
      </w:tr>
      <w:t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shown in the condensed consolidated balance sheets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escrow deposits included in 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Net Sales by Product Category:</w:t>
      </w:r>
    </w:p>
    <w:tbl>
      <w:tblPr>
        <w:tblW w:w="8205" w:type="dxa"/>
        <w:jc w:val="center"/>
        <w:tblInd w:w="0" w:type="dxa"/>
        <w:tblLayout w:type="fixed"/>
        <w:tblCellMar>
          <w:top w:w="28" w:type="dxa"/>
          <w:left w:w="28" w:type="dxa"/>
          <w:bottom w:w="28" w:type="dxa"/>
          <w:right w:w="28" w:type="dxa"/>
        </w:tblCellMar>
      </w:tblPr>
      <w:tblGrid>
        <w:gridCol w:w="830"/>
        <w:gridCol w:w="730"/>
        <w:gridCol w:w="73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Musculoskeletal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Enabling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tbl>
      <w:tblPr>
        <w:tblW w:w="7163" w:type="dxa"/>
        <w:jc w:val="left"/>
        <w:tblInd w:w="0" w:type="dxa"/>
        <w:tblLayout w:type="fixed"/>
        <w:tblCellMar>
          <w:top w:w="28" w:type="dxa"/>
          <w:left w:w="28" w:type="dxa"/>
          <w:bottom w:w="28" w:type="dxa"/>
          <w:right w:w="28" w:type="dxa"/>
        </w:tblCellMar>
      </w:tblPr>
      <w:tblGrid>
        <w:gridCol w:w="1630"/>
        <w:gridCol w:w="1432"/>
        <w:gridCol w:w="1437"/>
        <w:gridCol w:w="211"/>
        <w:gridCol w:w="826"/>
        <w:gridCol w:w="109"/>
        <w:gridCol w:w="109"/>
        <w:gridCol w:w="109"/>
        <w:gridCol w:w="109"/>
        <w:gridCol w:w="211"/>
        <w:gridCol w:w="826"/>
        <w:gridCol w:w="154"/>
      </w:tblGrid>
      <w:t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shd w:fill="FFFFFF" w:val="clear"/>
              </w:rPr>
            </w:pPr>
            <w:r>
              <w:rPr>
                <w:rFonts w:ascii="Times New Roman;serif" w:hAnsi="Times New Roman;serif"/>
                <w:b/>
                <w:i/>
                <w:color w:val="000000"/>
                <w:sz w:val="16"/>
                <w:shd w:fill="FFFFFF" w:val="clear"/>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following tables reconcile GAAP to non-GAAP financial measures.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Adjusted EBITDA Reconciliation Table:</w:t>
      </w:r>
    </w:p>
    <w:tbl>
      <w:tblPr>
        <w:tblW w:w="10125" w:type="dxa"/>
        <w:jc w:val="center"/>
        <w:tblInd w:w="0" w:type="dxa"/>
        <w:tblLayout w:type="fixed"/>
        <w:tblCellMar>
          <w:top w:w="28" w:type="dxa"/>
          <w:left w:w="28" w:type="dxa"/>
          <w:bottom w:w="28" w:type="dxa"/>
          <w:right w:w="28" w:type="dxa"/>
        </w:tblCellMar>
      </w:tblPr>
      <w:tblGrid>
        <w:gridCol w:w="1633"/>
        <w:gridCol w:w="1435"/>
        <w:gridCol w:w="14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6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Merger and acquisition-related costs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as a percentage of 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r>
      <w:t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net sales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(1)Merger and acquisition-related costs represent certain costs associated with acquisitions. These costs, presented on a before-tax effect basis, are included in Non-GAAP Merger and Acquisition-related Costs Table.</w:t>
      </w:r>
    </w:p>
    <w:p>
      <w:pPr>
        <w:pStyle w:val="TextBody"/>
        <w:bidi w:val="0"/>
        <w:spacing w:before="0" w:after="24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Merger and Acquisition-related Costs Table:</w:t>
      </w:r>
    </w:p>
    <w:tbl>
      <w:tblPr>
        <w:tblW w:w="9330" w:type="dxa"/>
        <w:jc w:val="left"/>
        <w:tblInd w:w="0" w:type="dxa"/>
        <w:tblLayout w:type="fixed"/>
        <w:tblCellMar>
          <w:top w:w="28" w:type="dxa"/>
          <w:left w:w="28" w:type="dxa"/>
          <w:bottom w:w="28" w:type="dxa"/>
          <w:right w:w="28" w:type="dxa"/>
        </w:tblCellMar>
      </w:tblPr>
      <w:tblGrid>
        <w:gridCol w:w="1626"/>
        <w:gridCol w:w="1431"/>
        <w:gridCol w:w="1443"/>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810"/>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Employee-related costs </w:t>
            </w:r>
            <w:r>
              <w:rPr>
                <w:rFonts w:ascii="Times New Roman;serif" w:hAnsi="Times New Roman;serif"/>
                <w:b w:val="false"/>
                <w:color w:val="000000"/>
                <w:sz w:val="13"/>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Other acquisition-related costs </w:t>
            </w:r>
            <w:r>
              <w:rPr>
                <w:rFonts w:ascii="Times New Roman;serif" w:hAnsi="Times New Roman;serif"/>
                <w:b w:val="false"/>
                <w:color w:val="000000"/>
                <w:sz w:val="13"/>
              </w:rPr>
              <w:t>(a)</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acquisition-related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(a)Primarily comprised of legal fees, advisory and consulting fees.</w:t>
      </w:r>
    </w:p>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(b)Primarily comprised of severance, share-based compensation and termination fees.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Net Income Reconciliation Table:</w:t>
      </w:r>
    </w:p>
    <w:tbl>
      <w:tblPr>
        <w:tblW w:w="10205" w:type="dxa"/>
        <w:jc w:val="center"/>
        <w:tblInd w:w="0" w:type="dxa"/>
        <w:tblLayout w:type="fixed"/>
        <w:tblCellMar>
          <w:top w:w="28" w:type="dxa"/>
          <w:left w:w="28" w:type="dxa"/>
          <w:bottom w:w="28" w:type="dxa"/>
          <w:right w:w="28" w:type="dxa"/>
        </w:tblCellMar>
      </w:tblPr>
      <w:tblGrid>
        <w:gridCol w:w="1733"/>
        <w:gridCol w:w="1463"/>
        <w:gridCol w:w="139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c>
          <w:tcPr>
            <w:tcW w:w="173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Merger and acquisition-related costs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on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benefit from non-recurring tax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(1)See footnote 1 to the Non-GAAP Adjusted EBITDA Reconciliation Table for the detail of these costs.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Gross Profit Reconciliation Table:</w:t>
      </w:r>
    </w:p>
    <w:tbl>
      <w:tblPr>
        <w:tblW w:w="10205" w:type="dxa"/>
        <w:jc w:val="left"/>
        <w:tblInd w:w="0" w:type="dxa"/>
        <w:tblLayout w:type="fixed"/>
        <w:tblCellMar>
          <w:top w:w="28" w:type="dxa"/>
          <w:left w:w="28" w:type="dxa"/>
          <w:bottom w:w="28" w:type="dxa"/>
          <w:right w:w="28" w:type="dxa"/>
        </w:tblCellMar>
      </w:tblPr>
      <w:tblGrid>
        <w:gridCol w:w="1600"/>
        <w:gridCol w:w="1398"/>
        <w:gridCol w:w="1409"/>
        <w:gridCol w:w="211"/>
        <w:gridCol w:w="826"/>
        <w:gridCol w:w="109"/>
        <w:gridCol w:w="109"/>
        <w:gridCol w:w="109"/>
        <w:gridCol w:w="109"/>
        <w:gridCol w:w="211"/>
        <w:gridCol w:w="826"/>
        <w:gridCol w:w="109"/>
        <w:gridCol w:w="109"/>
        <w:gridCol w:w="109"/>
        <w:gridCol w:w="109"/>
        <w:gridCol w:w="266"/>
        <w:gridCol w:w="465"/>
        <w:gridCol w:w="466"/>
        <w:gridCol w:w="136"/>
        <w:gridCol w:w="136"/>
        <w:gridCol w:w="136"/>
        <w:gridCol w:w="266"/>
        <w:gridCol w:w="404"/>
        <w:gridCol w:w="577"/>
      </w:tblGrid>
      <w:tr>
        <w:tc>
          <w:tcPr>
            <w:tcW w:w="160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c>
          <w:tcPr>
            <w:tcW w:w="4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2,313,185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2,112,511</w:t>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708,422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696,695</w:t>
            </w:r>
          </w:p>
        </w:tc>
      </w:tr>
      <w:tr>
        <w:tc>
          <w:tcPr>
            <w:tcW w:w="4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69,516</w:t>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1,540,891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1,346,300</w:t>
            </w:r>
          </w:p>
        </w:tc>
      </w:tr>
      <w:tr>
        <w:tc>
          <w:tcPr>
            <w:tcW w:w="4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12,973</w:t>
            </w:r>
          </w:p>
        </w:tc>
      </w:tr>
      <w:tr>
        <w:tc>
          <w:tcPr>
            <w:tcW w:w="4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69,516</w:t>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1,604,763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1,428,789</w:t>
            </w:r>
          </w:p>
        </w:tc>
      </w:tr>
      <w:tr>
        <w:tc>
          <w:tcPr>
            <w:tcW w:w="4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 of Net Sales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r>
      <w:tr>
        <w:tc>
          <w:tcPr>
            <w:tcW w:w="4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 of 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r>
    </w:tbl>
    <w:p>
      <w:pPr>
        <w:pStyle w:val="TextBody"/>
        <w:bidi w:val="0"/>
        <w:spacing w:before="0" w:after="24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Diluted Earnings Per Share Reconciliation Table:</w:t>
      </w:r>
    </w:p>
    <w:tbl>
      <w:tblPr>
        <w:tblW w:w="9975" w:type="dxa"/>
        <w:jc w:val="center"/>
        <w:tblInd w:w="0" w:type="dxa"/>
        <w:tblLayout w:type="fixed"/>
        <w:tblCellMar>
          <w:top w:w="28" w:type="dxa"/>
          <w:left w:w="28" w:type="dxa"/>
          <w:bottom w:w="28" w:type="dxa"/>
          <w:right w:w="28" w:type="dxa"/>
        </w:tblCellMar>
      </w:tblPr>
      <w:tblGrid>
        <w:gridCol w:w="2034"/>
        <w:gridCol w:w="1788"/>
        <w:gridCol w:w="180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c>
          <w:tcPr>
            <w:tcW w:w="203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(Per share amounts)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Merger and acquisition-related costs </w:t>
            </w:r>
            <w:r>
              <w:rPr>
                <w:rFonts w:ascii="Times New Roman;serif" w:hAnsi="Times New Roman;serif"/>
                <w:b w:val="false"/>
                <w:color w:val="000000"/>
                <w:sz w:val="13"/>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benefit from non-recurring tax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 See footnote 1 to the Non-GAAP Adjusted EBITDA Reconciliation Table above for the detail of these costs.</w:t>
      </w:r>
    </w:p>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*Amounts may not add due to rounding.</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Free Cash Flow Reconciliation Table:</w:t>
      </w:r>
    </w:p>
    <w:tbl>
      <w:tblPr>
        <w:tblW w:w="9074" w:type="dxa"/>
        <w:jc w:val="center"/>
        <w:tblInd w:w="0" w:type="dxa"/>
        <w:tblLayout w:type="fixed"/>
        <w:tblCellMar>
          <w:top w:w="28" w:type="dxa"/>
          <w:left w:w="28" w:type="dxa"/>
          <w:bottom w:w="28" w:type="dxa"/>
          <w:right w:w="28" w:type="dxa"/>
        </w:tblCellMar>
      </w:tblPr>
      <w:tblGrid>
        <w:gridCol w:w="1255"/>
        <w:gridCol w:w="1103"/>
        <w:gridCol w:w="110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Net Sales on a Constant Currency Basis Comparative Table:</w:t>
      </w:r>
    </w:p>
    <w:tbl>
      <w:tblPr>
        <w:tblW w:w="9062" w:type="dxa"/>
        <w:jc w:val="left"/>
        <w:tblInd w:w="0" w:type="dxa"/>
        <w:tblLayout w:type="fixed"/>
        <w:tblCellMar>
          <w:top w:w="28" w:type="dxa"/>
          <w:left w:w="28" w:type="dxa"/>
          <w:bottom w:w="28" w:type="dxa"/>
          <w:right w:w="28" w:type="dxa"/>
        </w:tblCellMar>
      </w:tblPr>
      <w:tblGrid>
        <w:gridCol w:w="922"/>
        <w:gridCol w:w="811"/>
        <w:gridCol w:w="817"/>
        <w:gridCol w:w="211"/>
        <w:gridCol w:w="826"/>
        <w:gridCol w:w="109"/>
        <w:gridCol w:w="109"/>
        <w:gridCol w:w="109"/>
        <w:gridCol w:w="109"/>
        <w:gridCol w:w="211"/>
        <w:gridCol w:w="826"/>
        <w:gridCol w:w="109"/>
        <w:gridCol w:w="109"/>
        <w:gridCol w:w="109"/>
        <w:gridCol w:w="109"/>
        <w:gridCol w:w="260"/>
        <w:gridCol w:w="260"/>
        <w:gridCol w:w="261"/>
        <w:gridCol w:w="109"/>
        <w:gridCol w:w="109"/>
        <w:gridCol w:w="109"/>
        <w:gridCol w:w="269"/>
        <w:gridCol w:w="882"/>
        <w:gridCol w:w="139"/>
        <w:gridCol w:w="109"/>
        <w:gridCol w:w="109"/>
        <w:gridCol w:w="109"/>
        <w:gridCol w:w="208"/>
        <w:gridCol w:w="208"/>
        <w:gridCol w:w="425"/>
      </w:tblGrid>
      <w:t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ind w:left="0" w:right="0" w:firstLine="90"/>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Net Sales</w:t>
              <w:b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 xml:space="preserve">Impact on </w:t>
              <w:br/>
              <w:t>Current</w:t>
              <w:br/>
              <w:t>Period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Constant</w:t>
              <w:br/>
              <w:t>Currency</w:t>
              <w:br/>
              <w:t>Net Sales</w:t>
              <w:br/>
              <w:t>Growth</w:t>
            </w:r>
          </w:p>
        </w:tc>
      </w:tr>
      <w:t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p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bl>
    <w:tbl>
      <w:tblPr>
        <w:tblW w:w="9362" w:type="dxa"/>
        <w:jc w:val="left"/>
        <w:tblInd w:w="0" w:type="dxa"/>
        <w:tblLayout w:type="fixed"/>
        <w:tblCellMar>
          <w:top w:w="28" w:type="dxa"/>
          <w:left w:w="28" w:type="dxa"/>
          <w:bottom w:w="28" w:type="dxa"/>
          <w:right w:w="28" w:type="dxa"/>
        </w:tblCellMar>
      </w:tblPr>
      <w:tblGrid>
        <w:gridCol w:w="922"/>
        <w:gridCol w:w="811"/>
        <w:gridCol w:w="817"/>
        <w:gridCol w:w="211"/>
        <w:gridCol w:w="976"/>
        <w:gridCol w:w="109"/>
        <w:gridCol w:w="109"/>
        <w:gridCol w:w="109"/>
        <w:gridCol w:w="109"/>
        <w:gridCol w:w="211"/>
        <w:gridCol w:w="976"/>
        <w:gridCol w:w="109"/>
        <w:gridCol w:w="109"/>
        <w:gridCol w:w="109"/>
        <w:gridCol w:w="109"/>
        <w:gridCol w:w="260"/>
        <w:gridCol w:w="260"/>
        <w:gridCol w:w="261"/>
        <w:gridCol w:w="109"/>
        <w:gridCol w:w="109"/>
        <w:gridCol w:w="109"/>
        <w:gridCol w:w="261"/>
        <w:gridCol w:w="894"/>
        <w:gridCol w:w="135"/>
        <w:gridCol w:w="109"/>
        <w:gridCol w:w="109"/>
        <w:gridCol w:w="109"/>
        <w:gridCol w:w="246"/>
        <w:gridCol w:w="246"/>
        <w:gridCol w:w="349"/>
      </w:tblGrid>
      <w:t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Net Sales</w:t>
              <w:b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 xml:space="preserve">Impact on </w:t>
              <w:br/>
              <w:t>Current</w:t>
              <w:br/>
              <w:t>Period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Constant</w:t>
              <w:br/>
              <w:t>Currency</w:t>
              <w:br/>
              <w:t>Net Sales</w:t>
              <w:br/>
              <w:t>Growth</w:t>
            </w:r>
          </w:p>
        </w:tc>
      </w:tr>
      <w:t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p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before="0" w:after="24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p>
      <w:pPr>
        <w:pStyle w:val="TextBody"/>
        <w:bidi w:val="0"/>
        <w:spacing w:before="0" w:after="200"/>
        <w:jc w:val="center"/>
      </w:p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Base Business and Nevro Corp. Net Sales Reconciliation Table:</w:t>
      </w:r>
    </w:p>
    <w:tbl>
      <w:tblPr>
        <w:tblW w:w="8279" w:type="dxa"/>
        <w:jc w:val="center"/>
        <w:tblInd w:w="0" w:type="dxa"/>
        <w:tblLayout w:type="fixed"/>
        <w:tblCellMar>
          <w:top w:w="28" w:type="dxa"/>
          <w:left w:w="28" w:type="dxa"/>
          <w:bottom w:w="28" w:type="dxa"/>
          <w:right w:w="28" w:type="dxa"/>
        </w:tblCellMar>
      </w:tblPr>
      <w:tblGrid>
        <w:gridCol w:w="858"/>
        <w:gridCol w:w="754"/>
        <w:gridCol w:w="75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Nevro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base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pPr>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Shagun Singh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Strategy and 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Phone: (610) 930-1800</w:t>
      </w:r>
    </w:p>
    <w:p>
      <w:pPr>
        <w:pStyle w:val="TextBody"/>
        <w:bidi w:val="0"/>
        <w:spacing w:lineRule="auto" w:line="288" w:before="0" w:after="0"/>
        <w:jc w:val="both"/>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investors@globusmedical.com</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www.globusmedical.com</w:t>
      </w:r>
    </w:p>
    <w:p>
      <w:pPr>
        <w:pStyle w:val="TextBody"/>
        <w:bidi w:val="0"/>
        <w:spacing w:before="0" w:after="200"/>
        <w:jc w:val="both"/>
      </w:pPr>
      <w:r/>
    </w:p>
    <w:p>
      <w:pPr>
        <w:pStyle w:val="TextBody"/>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5126</Words>
  <Characters>30028</Characters>
  <CharactersWithSpaces>34511</CharactersWithSpaces>
  <Paragraphs>1053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