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7, 2026</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GLOBUS MEDICAL, INC.</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001-35621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04-3744954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2560 GENERAL ARMISTEAD AVENUE, AUDUBON, PA 19403-5214</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(610) 930-1800</w:t>
      </w:r>
    </w:p>
    <w:p>
      <w:pPr>
        <w:pStyle w:val="TextBody"/>
        <w:bidi w:val="0"/>
        <w:spacing w:lineRule="auto" w:line="288" w:before="0" w:after="2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(Former Address)</w:t>
      </w:r>
    </w:p>
    <w:p>
      <w:pPr>
        <w:pStyle w:val="TextBody"/>
        <w:bidi w:val="0"/>
        <w:spacing w:before="0" w:after="60"/>
        <w:jc w:val="center"/>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8" w:type="dxa"/>
        <w:jc w:val="center"/>
        <w:tblInd w:w="0" w:type="dxa"/>
        <w:tblLayout w:type="fixed"/>
        <w:tblCellMar>
          <w:top w:w="28" w:type="dxa"/>
          <w:left w:w="28" w:type="dxa"/>
          <w:bottom w:w="28" w:type="dxa"/>
          <w:right w:w="28" w:type="dxa"/>
        </w:tblCellMar>
      </w:tblPr>
      <w:tblGrid>
        <w:gridCol w:w="1501"/>
        <w:gridCol w:w="1319"/>
        <w:gridCol w:w="1334"/>
        <w:gridCol w:w="524"/>
        <w:gridCol w:w="524"/>
        <w:gridCol w:w="526"/>
        <w:gridCol w:w="991"/>
        <w:gridCol w:w="991"/>
        <w:gridCol w:w="1408"/>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GMED</w:t>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76"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May 7, 2026, Globus Medical, Inc. (the “Company”) issued a press release reporting, among other things, its sales and operating results for the three-month period ended March 31, 2026. A copy of the press release is furnished herewith as Exhibit 99.1 and is incorporated herein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included in this Item 2.02, and the exhibit attached hereto, shall be deemed to be “furnished” and shall not be deemed to be “filed” with the Securities and Exchange Commission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9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63"/>
        <w:gridCol w:w="1963"/>
        <w:gridCol w:w="277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med-q12026ex991.htm">
              <w:r>
                <w:rPr>
                  <w:rStyle w:val="InternetLink"/>
                  <w:rFonts w:ascii="Times New Roman;serif" w:hAnsi="Times New Roman;serif"/>
                  <w:b w:val="false"/>
                  <w:color w:val="0000FF"/>
                  <w:sz w:val="20"/>
                  <w:u w:val="single"/>
                </w:rPr>
                <w:t>Press Release dated May 7,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213"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705"/>
        <w:gridCol w:w="705"/>
        <w:gridCol w:w="100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GLOBUS MEDICAL,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KYLE R. KLINE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Globus Medical Reports First Quarter 2026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AUDUBON, PA., May 7, 2026: Globus Medical, Inc. (NYSE: GMED), a leading musculoskeletal technology company, today announced its financial results for the first quarter ended March 31,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Quarter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Worldwide net sales were $759.9 million, an increase of 27.0%, or an increase of 25.5% on a constant currency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Base business, excluding Nevro, net sales were $677.2 million, an increase of 13.2%, or an increase of 11.2% on a constant currency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net income for the quarter was $124.3 million.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GAAP diluted earnings per share (“EPS”) was $0.90, an increase of 66.6%. Non-GAAP diluted EPS was $1.12, an increase of 64.7%.</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We’re off to a strong start in 2026 with 27% overall revenue growth and record first quarter earnings. Organic revenue grew over 13%, driven by share gains and procedural volume strength in core spine, while Enabling Technologies delivered against its pipeline and continued to expand its customer base,” commented Keith Pfeil, President and Chief Executive Officer. “Disciplined execution on manufacturing and supply chain initiatives, as well as structural cost actions, coupled with operating leverage on higher volumes, drove margin expansion in excess of sales growth, which we expect to favorably impact full-year results. Our strategic priority remains centered on achieving improved surgical outcomes through the Globus ecosystem, bringing together patient selection, surgical techniques with complementary implants and technology to drive the surgical procedure, through a closed-loop surgical intelligence system.”</w:t>
      </w:r>
    </w:p>
    <w:p>
      <w:pPr>
        <w:pStyle w:val="TextBody"/>
        <w:bidi w:val="0"/>
        <w:spacing w:lineRule="auto" w:line="288" w:before="0" w:after="200"/>
        <w:jc w:val="both"/>
        <w:rPr>
          <w:color w:val="000000"/>
        </w:rPr>
      </w:pPr>
      <w:r>
        <w:rPr>
          <w:color w:val="000000"/>
        </w:rPr>
        <w:t>“</w:t>
      </w:r>
      <w:r>
        <w:rPr>
          <w:rFonts w:ascii="Times New Roman;serif" w:hAnsi="Times New Roman;serif"/>
          <w:b w:val="false"/>
          <w:color w:val="000000"/>
          <w:sz w:val="20"/>
        </w:rPr>
        <w:t>In the first quarter, US Spine continued to lead the way in growth for the organization, posting the third straight 10% growth quarter when compared to the same quarter of the prior year. This, paired with growth across all of our significant underlying businesses, drove record first quarter GAAP and non-GAAP net income and diluted earnings per share,” said Kyle Kline, Chief Financial Officer. “Nevro performed as expected as we continue to diligently work through the integration and adapt the business to Globus’ systems, processes, and metrics. Our total Company first quarter results represent an impressive beginning to 2026, reflecting the ongoing benefits of operating leverage, synergy realization, and financial discipline, positioning us well to deliver sustained earnings growth and value creation throughout the year.”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Worldwide net sales for the first quarter of 2026 were $759.9 million, an as-reported increase of 27.0% over the first quarter of 2025. U.S. net sales for the first quarter of 2026 increased by 25.0% compared to the first quarter of 2025. International net sales increased by 35.6% over the first quarter of 2025 on an as-reported basis and increased by 27.8% on a constant currency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GAAP net income for the first quarter of 2026 was $124.3 million, an increase of 64.7% over the same period in the prior year. The increase in GAAP net income was primarily driven by higher sales of $161.7 million, with the sales from the acquisition of Nevro contributing $82.7 million. GAAP diluted EPS for the first quarter was $0.90, compared to $0.54 for the first quarter of 2025, an increase of 66.6%. Non-GAAP diluted EPS for the first quarter of 2026, which excludes, among other costs, amortization of intangibles, merger and acquisition-related costs, and restructuring-related costs, was $1.12, compared to $0.68 in the first quarter of 2025, an increase of 64.7%.</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2026 Annual Guidance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reaffirms its guidance for full-year 2026 revenue to be in the range of $3.18 billion to $3.22 billion and updates its guidance for non-GAAP fully diluted EPS to be in the range of $4.70 to $4.80 from the previous range of $4.40 to $4.50.</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Globus Medical will hold a teleconference to discuss its 2026 first quarter results with the investment community at 4:30 p.m. Eastern Time today. Participants may access the conference call live via webcast on the Investors page of Globus Medical’s website at http://www.investors.globusmedical.com/news-events/events-webcasts.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audio archive will be available after the call on the Investor page of the Globus Medical website.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About Globus Medical, Inc.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Globus Medical, Inc. is a leading global musculoskeletal technology company dedicated to solving unmet clinical needs and changing lives. We innovate with inspired urgency, provide world-class education and clinical support, and advance care throughout spine, </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orthopedic trauma, joint reconstruction, biomaterials and enabling technologies. Additional information can be accessed at www.globusmedical.com.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prepared in accordance with U.S. generally accepted accounting principles (“GAAP”), management uses certain non-GAAP financial measures. For example, non-GAAP Adjusted EBITDA, which represents net income before interest income, net and other non-operating expenses, provision for income taxes, depreciation and amortization, stock-based compensation expense, provision for litigation, merger and acquisition related costs, restructuring related costs, certain foreign currency acquisition-related impacts, bargain purchase gains, and gains and losses from strategic investments, is useful as an additional measure of operating performance, and particularly as a measure of comparative operating performance from period to period, as it is reflective of changes in pricing decisions, cost controls and other factors that affect operating performance, and it removes the effect of our capital structure, asset base, income taxes and interest income and expense. We no longer include acquisition of in-process research and development as an adjustment to non-GAAP Adjusted EBITDA. Our management also uses non-GAAP Adjusted EBITDA for planning purposes, including the preparation of our annual operating budget and financial projections. Provision for litigation represents costs incurred for litigation settlements or unfavorable verdicts when the loss is known or considered probable and the amount can be reasonably estimated, or in the case of a favorable settlement, when income is realized. Merger and acquisition related costs represents the change in fair value of business-acquisition-related contingent consideration; costs related to integrating recently acquired businesses, including but not limited to costs to exit or convert contractual obligations, severance, retention bonus, duplicative costs and information system conversion; and specific costs related to the consummation of the acquisition process such as banker fees, legal fees, and other acquisition related professional fees. Restructuring related costs include severance, retention bonus, accelerated stock-based compensation expense, legal and tax fees for legal entity reorganization and costs associated with consolidating facilities. We also adjusted for certain foreign currency impacts related to the acquisition costs and gains/losses on strategic investments within other assets as we believe these impacts are not a measure of our operating performance.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for the period ended March 31, 2026 and for other comparative periods, we are presenting non-GAAP net income and non-GAAP diluted EPS, which represent net income and diluted EPS excluding the provision for litigation, amortization of intangibles, merger and acquisition related costs, restructuring related costs, certain foreign currency impacts, gains and losses from strategic investments, bargain purchase gains, certain income tax net benefits and non-recurring tax adjustments, and the tax effects of all of the foregoing adjustments. We no longer include acquisition of in-process research and development as an adjustment to non-GAAP net income. We also present non-GAAP gross profit, which excludes the impacts of any inventory acquisition-related costs within cost of goods sold. The tax effect adjustment represents the tax effect of the pre-tax non-GAAP adjustments excluded from non-GAAP net income. The tax impact of the non-GAAP adjustments is calculated based on the consolidated effective tax rate on a GAAP basis, applied to the non-GAAP adjustments, unless the underlying item has a materially different tax treatment, in which case the estimated tax rate applicable to the adjustment is used. We believe these non-GAAP measures are also useful indicators of our operating performance, and particularly as additional measures of comparative operating performance from period to period as they remove the effects of the foregoing items, which we believe are not reflective of underlying business trends.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Additionally, for the period ended March 31, 2026 and for other comparative periods, we also define the non-GAAP measure of free cash flow as the net cash provided by operating activities, adjusted for the impact of restricted cash, less the cash impact of purchases of property and equipment. We believe that this financial measure provides meaningful information for evaluating our overall financial performance for comparative periods as it facilitates an assessment of funds available to satisfy current and future obligations and fund acquisitions. Furthermore, the non-GAAP measure of constant currency net sales growth is calculated by translating current year net sales at the same average exchange rates in effect during the applicable prior year period. We believe constant currency net sales growth provides insight to the comparative increase or decrease in period net sales, in dollar and percentage terms, excluding the effects of fluctuations in foreign currency exchange rates. We are also presenting base business sales and base Adjusted EBIDTA, excluding the contribution from the recently acquired Nevro Corp. (“Nevro”) and its subsidiaries. We believe these provide insight to how the Company is performing without the impact of our most recent acquisition.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Non-GAAP Adjusted EBITDA, non-GAAP net income, non-GAAP diluted EPS, non-GAAP gross profit, free cash flow, constant currency net sales growth, base business sales, excluding the contribution from the recently acquired Nevro, and day-adjusted basis sales are not calculated in conformity with GAAP. Non-GAAP financial measures have limitations as analytical tools and should not be considered in isolation or as a substitute for financial measures prepared in accordance with GAAP. These measures do not include certain expenses that may be necessary to evaluate our liquidity or operating results. Our definitions of these non-GAAP measures may differ from that of other companies and therefore may not be comparable. The tables included in this release reconcile the GAAP financial measures to the non-GAAP financial measures discussed above for the three months ended March 31,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present a quantitative reconciliation of our expected fully diluted GAAP EPS to non-GAAP diluted EPS as we are unable to predict with reasonable certainty and without unreasonable effort the impact and timing of provision for litigation, amortization of intangibles, merger and acquisition-related costs, restructuring related costs, certain foreign currency acquisition-related impacts, bargain purchase gains, certain income tax net benefits from non-recurring tax adjustments, gains and losses from strategic investments, </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and the tax effects of all of the foregoing adjustments. The financial impact of these items is uncertain and is dependent on various factors, including timing, and could be material to our Consolidated Statements of Income.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Safe Harbor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 industry, general economic conditions, the successful integration of businesses that we have acquired or may acquire in the future, and other risks. For a discussion of these and other risks, uncertainties, and other factors that could affect our results, refer to the disclosures contained in our most recent Annual Report on Form 10-K filed with the U.S. Securities and Exchange Commission (the “SEC”), including the sections labeled “Risk Factors” and “Cautionary Note Concerning Forward-Looking Statements,” and in our subsequent filings with the SEC.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Except as may be required by applicable law, we undertake no obligation to update any forward-looking statements as a result of new information, events or circumstances or other factors arising or coming to our attention after the date hereof. As used herein, the “Company”, “Globus”, “Globus Medical”, “we”, “us”, and “our” refers to Globus Medical,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INCOME</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(unaudited)</w:t>
      </w:r>
    </w:p>
    <w:tbl>
      <w:tblPr>
        <w:tblW w:w="7223" w:type="dxa"/>
        <w:jc w:val="left"/>
        <w:tblInd w:w="0" w:type="dxa"/>
        <w:tblLayout w:type="fixed"/>
        <w:tblCellMar>
          <w:top w:w="28" w:type="dxa"/>
          <w:left w:w="28" w:type="dxa"/>
          <w:bottom w:w="28" w:type="dxa"/>
          <w:right w:w="28" w:type="dxa"/>
        </w:tblCellMar>
      </w:tblPr>
      <w:tblGrid>
        <w:gridCol w:w="1643"/>
        <w:gridCol w:w="1445"/>
        <w:gridCol w:w="1456"/>
        <w:gridCol w:w="211"/>
        <w:gridCol w:w="841"/>
        <w:gridCol w:w="109"/>
        <w:gridCol w:w="109"/>
        <w:gridCol w:w="109"/>
        <w:gridCol w:w="109"/>
        <w:gridCol w:w="211"/>
        <w:gridCol w:w="82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297,775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net of tax:</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income/(loss), net of tax</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136,757</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93"/>
        <w:gridCol w:w="2208"/>
        <w:gridCol w:w="2224"/>
        <w:gridCol w:w="211"/>
        <w:gridCol w:w="991"/>
        <w:gridCol w:w="109"/>
        <w:gridCol w:w="109"/>
        <w:gridCol w:w="109"/>
        <w:gridCol w:w="109"/>
        <w:gridCol w:w="211"/>
        <w:gridCol w:w="976"/>
        <w:gridCol w:w="155"/>
      </w:tblGrid>
      <w:tr>
        <w:trPr/>
        <w:tc>
          <w:tcPr>
            <w:tcW w:w="279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$40,933 and $33,434,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686,433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772,602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2,198,120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720,845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5,439,555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 net of current portion</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500,000,000 shares; issued and outstanding 113,236,099 and 112,625,126 shares at March 31,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275,000,000 shares; issued and outstanding 22,430,097 and 22,430,097 shares at March 31,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3,205,514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1,512,259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4,732,312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5,439,555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178" w:type="dxa"/>
        <w:jc w:val="left"/>
        <w:tblInd w:w="0" w:type="dxa"/>
        <w:tblLayout w:type="fixed"/>
        <w:tblCellMar>
          <w:top w:w="28" w:type="dxa"/>
          <w:left w:w="28" w:type="dxa"/>
          <w:bottom w:w="28" w:type="dxa"/>
          <w:right w:w="28" w:type="dxa"/>
        </w:tblCellMar>
      </w:tblPr>
      <w:tblGrid>
        <w:gridCol w:w="2716"/>
        <w:gridCol w:w="2388"/>
        <w:gridCol w:w="2395"/>
        <w:gridCol w:w="211"/>
        <w:gridCol w:w="841"/>
        <w:gridCol w:w="109"/>
        <w:gridCol w:w="109"/>
        <w:gridCol w:w="109"/>
        <w:gridCol w:w="109"/>
        <w:gridCol w:w="211"/>
        <w:gridCol w:w="826"/>
        <w:gridCol w:w="154"/>
      </w:tblGrid>
      <w:tr>
        <w:trPr/>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Bargain purchase gain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 accounting fair value step 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of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foreign currency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 and purchases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withholdings for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convertible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Net Sales by Product Category:</w:t>
      </w:r>
    </w:p>
    <w:tbl>
      <w:tblPr>
        <w:tblW w:w="4959" w:type="dxa"/>
        <w:jc w:val="center"/>
        <w:tblInd w:w="0" w:type="dxa"/>
        <w:tblLayout w:type="fixed"/>
        <w:tblCellMar>
          <w:top w:w="28" w:type="dxa"/>
          <w:left w:w="28" w:type="dxa"/>
          <w:bottom w:w="28" w:type="dxa"/>
          <w:right w:w="28" w:type="dxa"/>
        </w:tblCellMar>
      </w:tblPr>
      <w:tblGrid>
        <w:gridCol w:w="830"/>
        <w:gridCol w:w="730"/>
        <w:gridCol w:w="735"/>
        <w:gridCol w:w="211"/>
        <w:gridCol w:w="826"/>
        <w:gridCol w:w="109"/>
        <w:gridCol w:w="109"/>
        <w:gridCol w:w="109"/>
        <w:gridCol w:w="109"/>
        <w:gridCol w:w="211"/>
        <w:gridCol w:w="82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Musculoskeletal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Enabling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Liquidity and Capital Resources:</w:t>
      </w:r>
    </w:p>
    <w:tbl>
      <w:tblPr>
        <w:tblW w:w="7163" w:type="dxa"/>
        <w:jc w:val="left"/>
        <w:tblInd w:w="0" w:type="dxa"/>
        <w:tblLayout w:type="fixed"/>
        <w:tblCellMar>
          <w:top w:w="28" w:type="dxa"/>
          <w:left w:w="28" w:type="dxa"/>
          <w:bottom w:w="28" w:type="dxa"/>
          <w:right w:w="28" w:type="dxa"/>
        </w:tblCellMar>
      </w:tblPr>
      <w:tblGrid>
        <w:gridCol w:w="1630"/>
        <w:gridCol w:w="1432"/>
        <w:gridCol w:w="1437"/>
        <w:gridCol w:w="211"/>
        <w:gridCol w:w="826"/>
        <w:gridCol w:w="109"/>
        <w:gridCol w:w="109"/>
        <w:gridCol w:w="109"/>
        <w:gridCol w:w="109"/>
        <w:gridCol w:w="211"/>
        <w:gridCol w:w="82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shd w:fill="FFFFFF" w:val="clear"/>
              </w:rPr>
            </w:pPr>
            <w:r>
              <w:rPr>
                <w:rFonts w:ascii="Times New Roman;serif" w:hAnsi="Times New Roman;serif"/>
                <w:b/>
                <w:i/>
                <w:color w:val="000000"/>
                <w:sz w:val="16"/>
                <w:shd w:fill="FFFFFF" w:val="clear"/>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following tables reconcile GAAP to non-GAAP financial measures.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Non-GAAP Adjusted EBITDA Reconciliation Table:</w:t>
      </w:r>
    </w:p>
    <w:tbl>
      <w:tblPr>
        <w:tblW w:w="7179" w:type="dxa"/>
        <w:jc w:val="center"/>
        <w:tblInd w:w="0" w:type="dxa"/>
        <w:tblLayout w:type="fixed"/>
        <w:tblCellMar>
          <w:top w:w="28" w:type="dxa"/>
          <w:left w:w="28" w:type="dxa"/>
          <w:bottom w:w="28" w:type="dxa"/>
          <w:right w:w="28" w:type="dxa"/>
        </w:tblCellMar>
      </w:tblPr>
      <w:tblGrid>
        <w:gridCol w:w="1633"/>
        <w:gridCol w:w="1435"/>
        <w:gridCol w:w="1447"/>
        <w:gridCol w:w="211"/>
        <w:gridCol w:w="826"/>
        <w:gridCol w:w="109"/>
        <w:gridCol w:w="109"/>
        <w:gridCol w:w="109"/>
        <w:gridCol w:w="109"/>
        <w:gridCol w:w="211"/>
        <w:gridCol w:w="826"/>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acquisition-related costs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as a percentage of 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net sales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r>
    </w:tbl>
    <w:p>
      <w:pPr>
        <w:pStyle w:val="TextBody"/>
        <w:bidi w:val="0"/>
        <w:spacing w:lineRule="auto" w:line="288" w:before="0" w:after="24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(1)Merger and acquisition-related costs represent certain costs associated with acquisitions. These costs, presented on a before-tax effect basis, are included in Non-GAAP Merger and Acquisition-related Costs Table.</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Merger and Acquisition-related Costs Table:</w:t>
      </w:r>
    </w:p>
    <w:tbl>
      <w:tblPr>
        <w:tblW w:w="6744" w:type="dxa"/>
        <w:jc w:val="left"/>
        <w:tblInd w:w="0" w:type="dxa"/>
        <w:tblLayout w:type="fixed"/>
        <w:tblCellMar>
          <w:top w:w="28" w:type="dxa"/>
          <w:left w:w="28" w:type="dxa"/>
          <w:bottom w:w="28" w:type="dxa"/>
          <w:right w:w="28" w:type="dxa"/>
        </w:tblCellMar>
      </w:tblPr>
      <w:tblGrid>
        <w:gridCol w:w="1626"/>
        <w:gridCol w:w="1431"/>
        <w:gridCol w:w="1443"/>
        <w:gridCol w:w="211"/>
        <w:gridCol w:w="616"/>
        <w:gridCol w:w="109"/>
        <w:gridCol w:w="109"/>
        <w:gridCol w:w="109"/>
        <w:gridCol w:w="109"/>
        <w:gridCol w:w="211"/>
        <w:gridCol w:w="61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81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Employee-related costs </w:t>
            </w:r>
            <w:r>
              <w:rPr>
                <w:rFonts w:ascii="Times New Roman;serif" w:hAnsi="Times New Roman;serif"/>
                <w:b w:val="false"/>
                <w:color w:val="000000"/>
                <w:sz w:val="13"/>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acquisition-related costs </w:t>
            </w:r>
            <w:r>
              <w:rPr>
                <w:rFonts w:ascii="Times New Roman;serif" w:hAnsi="Times New Roman;serif"/>
                <w:b w:val="false"/>
                <w:color w:val="000000"/>
                <w:sz w:val="13"/>
              </w:rPr>
              <w:t>(a)</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acquisition-related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(a)Primarily comprised of legal fees, advisory and consulting fees.</w:t>
      </w:r>
    </w:p>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(b)Primarily comprised of severance, share based compensation and termination fees.</w: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Net Income Reconciliation Table:</w:t>
      </w:r>
    </w:p>
    <w:tbl>
      <w:tblPr>
        <w:tblW w:w="7073" w:type="dxa"/>
        <w:jc w:val="center"/>
        <w:tblInd w:w="0" w:type="dxa"/>
        <w:tblLayout w:type="fixed"/>
        <w:tblCellMar>
          <w:top w:w="28" w:type="dxa"/>
          <w:left w:w="28" w:type="dxa"/>
          <w:bottom w:w="28" w:type="dxa"/>
          <w:right w:w="28" w:type="dxa"/>
        </w:tblCellMar>
      </w:tblPr>
      <w:tblGrid>
        <w:gridCol w:w="1637"/>
        <w:gridCol w:w="1437"/>
        <w:gridCol w:w="1440"/>
        <w:gridCol w:w="211"/>
        <w:gridCol w:w="826"/>
        <w:gridCol w:w="109"/>
        <w:gridCol w:w="109"/>
        <w:gridCol w:w="109"/>
        <w:gridCol w:w="109"/>
        <w:gridCol w:w="211"/>
        <w:gridCol w:w="721"/>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Merger and acquisition -related costs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on strategic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16"/>
        </w:rPr>
      </w:pPr>
      <w:r>
        <w:rPr>
          <w:rFonts w:ascii="Times New Roman;serif" w:hAnsi="Times New Roman;serif"/>
          <w:b w:val="false"/>
          <w:i/>
          <w:color w:val="000000"/>
          <w:sz w:val="16"/>
        </w:rPr>
        <w:t>(1) See footnote 1 to the Non-GAAP Adjusted EBITDA Reconciliation Table above for the detail for these costs.</w:t>
      </w:r>
    </w:p>
    <w:p>
      <w:pPr>
        <w:pStyle w:val="TextBody"/>
        <w:bidi w:val="0"/>
        <w:spacing w:before="0" w:after="0"/>
        <w:ind w:left="0" w:right="0" w:hanging="90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Gross Profit Reconciliation Table:</w:t>
      </w:r>
    </w:p>
    <w:tbl>
      <w:tblPr>
        <w:tblW w:w="7533" w:type="dxa"/>
        <w:jc w:val="center"/>
        <w:tblInd w:w="0" w:type="dxa"/>
        <w:tblLayout w:type="fixed"/>
        <w:tblCellMar>
          <w:top w:w="28" w:type="dxa"/>
          <w:left w:w="28" w:type="dxa"/>
          <w:bottom w:w="28" w:type="dxa"/>
          <w:right w:w="28" w:type="dxa"/>
        </w:tblCellMar>
      </w:tblPr>
      <w:tblGrid>
        <w:gridCol w:w="1643"/>
        <w:gridCol w:w="1447"/>
        <w:gridCol w:w="1455"/>
        <w:gridCol w:w="211"/>
        <w:gridCol w:w="826"/>
        <w:gridCol w:w="271"/>
        <w:gridCol w:w="109"/>
        <w:gridCol w:w="109"/>
        <w:gridCol w:w="109"/>
        <w:gridCol w:w="211"/>
        <w:gridCol w:w="826"/>
        <w:gridCol w:w="316"/>
      </w:tblGrid>
      <w:tr>
        <w:trPr/>
        <w:tc>
          <w:tcPr>
            <w:tcW w:w="16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195,397 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380,516 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step up</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 of Net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40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Diluted Earnings Per Share Reconciliation Table:</w:t>
      </w:r>
    </w:p>
    <w:tbl>
      <w:tblPr>
        <w:tblW w:w="6548" w:type="dxa"/>
        <w:jc w:val="center"/>
        <w:tblInd w:w="0" w:type="dxa"/>
        <w:tblLayout w:type="fixed"/>
        <w:tblCellMar>
          <w:top w:w="28" w:type="dxa"/>
          <w:left w:w="28" w:type="dxa"/>
          <w:bottom w:w="28" w:type="dxa"/>
          <w:right w:w="28" w:type="dxa"/>
        </w:tblCellMar>
      </w:tblPr>
      <w:tblGrid>
        <w:gridCol w:w="1636"/>
        <w:gridCol w:w="1437"/>
        <w:gridCol w:w="1441"/>
        <w:gridCol w:w="211"/>
        <w:gridCol w:w="511"/>
        <w:gridCol w:w="109"/>
        <w:gridCol w:w="109"/>
        <w:gridCol w:w="109"/>
        <w:gridCol w:w="109"/>
        <w:gridCol w:w="211"/>
        <w:gridCol w:w="511"/>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Merger and acquisition -related costs</w:t>
            </w:r>
            <w:r>
              <w:rPr>
                <w:color w:val="000000"/>
              </w:rPr>
              <w:t xml:space="preserve"> </w:t>
            </w:r>
            <w:r>
              <w:rPr>
                <w:rFonts w:ascii="Times New Roman;serif" w:hAnsi="Times New Roman;serif"/>
                <w:b w:val="false"/>
                <w:color w:val="000000"/>
                <w:sz w:val="13"/>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strategic investments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acquisition-related foreign currency impacts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adjusting items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 See footnote 1 to the Non-GAAP Adjusted EBITDA Reconciliation Table above for the detail of these costs.</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*Amounts may not add due to rounding.</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Free Cash Flow Reconciliation Table:</w:t>
      </w:r>
    </w:p>
    <w:tbl>
      <w:tblPr>
        <w:tblW w:w="6128" w:type="dxa"/>
        <w:jc w:val="center"/>
        <w:tblInd w:w="0" w:type="dxa"/>
        <w:tblLayout w:type="fixed"/>
        <w:tblCellMar>
          <w:top w:w="28" w:type="dxa"/>
          <w:left w:w="28" w:type="dxa"/>
          <w:bottom w:w="28" w:type="dxa"/>
          <w:right w:w="28" w:type="dxa"/>
        </w:tblCellMar>
      </w:tblPr>
      <w:tblGrid>
        <w:gridCol w:w="1255"/>
        <w:gridCol w:w="1103"/>
        <w:gridCol w:w="1106"/>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Non-GAAP Net Sales on a Constant Currency Basis Comparative Table:</w:t>
      </w:r>
    </w:p>
    <w:tbl>
      <w:tblPr>
        <w:tblW w:w="9046"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60"/>
        <w:gridCol w:w="260"/>
        <w:gridCol w:w="261"/>
        <w:gridCol w:w="109"/>
        <w:gridCol w:w="109"/>
        <w:gridCol w:w="109"/>
        <w:gridCol w:w="291"/>
        <w:gridCol w:w="849"/>
        <w:gridCol w:w="150"/>
        <w:gridCol w:w="109"/>
        <w:gridCol w:w="109"/>
        <w:gridCol w:w="109"/>
        <w:gridCol w:w="208"/>
        <w:gridCol w:w="208"/>
        <w:gridCol w:w="42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Net Sales</w:t>
              <w:b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Currency</w:t>
              <w:br/>
              <w:t xml:space="preserve">Impact on </w:t>
              <w:br/>
              <w:t>Current</w:t>
              <w:br/>
              <w:t>Period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Constant</w:t>
              <w:br/>
              <w:t>Currency</w:t>
              <w:br/>
              <w:t>Net Sales</w:t>
              <w:br/>
              <w:t>Growth</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Net Sales Reconciliation of the Nevro Acquisition Table:</w:t>
      </w:r>
    </w:p>
    <w:tbl>
      <w:tblPr>
        <w:tblW w:w="5033" w:type="dxa"/>
        <w:jc w:val="left"/>
        <w:tblInd w:w="0" w:type="dxa"/>
        <w:tblLayout w:type="fixed"/>
        <w:tblCellMar>
          <w:top w:w="28" w:type="dxa"/>
          <w:left w:w="28" w:type="dxa"/>
          <w:bottom w:w="28" w:type="dxa"/>
          <w:right w:w="28" w:type="dxa"/>
        </w:tblCellMar>
      </w:tblPr>
      <w:tblGrid>
        <w:gridCol w:w="858"/>
        <w:gridCol w:w="754"/>
        <w:gridCol w:w="757"/>
        <w:gridCol w:w="211"/>
        <w:gridCol w:w="826"/>
        <w:gridCol w:w="109"/>
        <w:gridCol w:w="109"/>
        <w:gridCol w:w="109"/>
        <w:gridCol w:w="109"/>
        <w:gridCol w:w="211"/>
        <w:gridCol w:w="82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Nevro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base business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Adjusted EBITDA Reconciliation of the Nevro Acquisition Table:</w:t>
      </w:r>
    </w:p>
    <w:tbl>
      <w:tblPr>
        <w:tblW w:w="7074" w:type="dxa"/>
        <w:jc w:val="left"/>
        <w:tblInd w:w="0" w:type="dxa"/>
        <w:tblLayout w:type="fixed"/>
        <w:tblCellMar>
          <w:top w:w="28" w:type="dxa"/>
          <w:left w:w="28" w:type="dxa"/>
          <w:bottom w:w="28" w:type="dxa"/>
          <w:right w:w="28" w:type="dxa"/>
        </w:tblCellMar>
      </w:tblPr>
      <w:tblGrid>
        <w:gridCol w:w="1598"/>
        <w:gridCol w:w="1404"/>
        <w:gridCol w:w="1408"/>
        <w:gridCol w:w="211"/>
        <w:gridCol w:w="826"/>
        <w:gridCol w:w="109"/>
        <w:gridCol w:w="109"/>
        <w:gridCol w:w="109"/>
        <w:gridCol w:w="109"/>
        <w:gridCol w:w="211"/>
        <w:gridCol w:w="82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of the acquired Nevro subsidiaries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of base business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Adjusted EBITDA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(1)See Non-GAAP Adjusted EBITDA Reconciliation Table above for calculation.</w:t>
      </w:r>
    </w:p>
    <w:p>
      <w:pPr>
        <w:pStyle w:val="TextBody"/>
        <w:bidi w:val="0"/>
        <w:spacing w:before="0" w:after="240"/>
        <w:ind w:left="0" w:right="0" w:firstLine="9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Brian Kearns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Corporate Development and 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Phone: (610) 930-1800</w:t>
      </w:r>
    </w:p>
    <w:p>
      <w:pPr>
        <w:pStyle w:val="TextBody"/>
        <w:bidi w:val="0"/>
        <w:spacing w:lineRule="auto" w:line="288" w:before="0" w:after="0"/>
        <w:jc w:val="both"/>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investors@globusmedical.com</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www.globusmedical.com</w:t>
      </w:r>
    </w:p>
    <w:p>
      <w:pPr>
        <w:pStyle w:val="TextBody"/>
        <w:bidi w:val="0"/>
        <w:spacing w:before="0" w:after="24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4338</Words>
  <Characters>25468</Characters>
  <CharactersWithSpaces>29316</CharactersWithSpaces>
  <Paragraphs>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