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186"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spacing w:after="0" w:line="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178"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4, 2025</w:t>
      </w:r>
    </w:p>
    <w:p>
      <w:pPr>
        <w:spacing w:after="0" w:line="14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0"/>
          <w:szCs w:val="40"/>
          <w:b w:val="1"/>
          <w:bCs w:val="1"/>
          <w:color w:val="auto"/>
        </w:rPr>
        <w:t>GLOBUS MEDICAL, INC.</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charter)</w:t>
      </w:r>
    </w:p>
    <w:p>
      <w:pPr>
        <w:spacing w:after="0" w:line="154" w:lineRule="exact"/>
        <w:rPr>
          <w:sz w:val="24"/>
          <w:szCs w:val="24"/>
          <w:color w:val="auto"/>
        </w:rPr>
      </w:pPr>
    </w:p>
    <w:tbl>
      <w:tblPr>
        <w:tblLayout w:type="fixed"/>
        <w:tblInd w:w="1260" w:type="dxa"/>
        <w:tblCellMar>
          <w:top w:w="0" w:type="dxa"/>
          <w:left w:w="0" w:type="dxa"/>
          <w:bottom w:w="0" w:type="dxa"/>
          <w:right w:w="0" w:type="dxa"/>
        </w:tblCellMar>
      </w:tblPr>
      <w:tr>
        <w:trPr>
          <w:trHeight w:val="207"/>
        </w:trPr>
        <w:tc>
          <w:tcPr>
            <w:tcW w:w="1740" w:type="dxa"/>
            <w:vAlign w:val="bottom"/>
          </w:tcPr>
          <w:p>
            <w:pPr>
              <w:jc w:val="center"/>
              <w:ind w:right="42"/>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5380" w:type="dxa"/>
            <w:vAlign w:val="bottom"/>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001-35621</w:t>
            </w:r>
          </w:p>
        </w:tc>
        <w:tc>
          <w:tcPr>
            <w:tcW w:w="1360" w:type="dxa"/>
            <w:vAlign w:val="bottom"/>
          </w:tcPr>
          <w:p>
            <w:pPr>
              <w:jc w:val="center"/>
              <w:ind w:left="142"/>
              <w:spacing w:after="0"/>
              <w:rPr>
                <w:sz w:val="20"/>
                <w:szCs w:val="20"/>
                <w:color w:val="auto"/>
              </w:rPr>
            </w:pPr>
            <w:r>
              <w:rPr>
                <w:rFonts w:ascii="Times New Roman" w:cs="Times New Roman" w:eastAsia="Times New Roman" w:hAnsi="Times New Roman"/>
                <w:sz w:val="18"/>
                <w:szCs w:val="18"/>
                <w:b w:val="1"/>
                <w:bCs w:val="1"/>
                <w:color w:val="auto"/>
                <w:w w:val="98"/>
              </w:rPr>
              <w:t>04-3744954</w:t>
            </w:r>
          </w:p>
        </w:tc>
      </w:tr>
      <w:tr>
        <w:trPr>
          <w:trHeight w:val="148"/>
        </w:trPr>
        <w:tc>
          <w:tcPr>
            <w:tcW w:w="1740" w:type="dxa"/>
            <w:vAlign w:val="bottom"/>
          </w:tcPr>
          <w:p>
            <w:pPr>
              <w:jc w:val="center"/>
              <w:ind w:right="22"/>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38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1360" w:type="dxa"/>
            <w:vAlign w:val="bottom"/>
          </w:tcPr>
          <w:p>
            <w:pPr>
              <w:jc w:val="center"/>
              <w:ind w:left="142"/>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740" w:type="dxa"/>
            <w:vAlign w:val="bottom"/>
          </w:tcPr>
          <w:p>
            <w:pPr>
              <w:jc w:val="center"/>
              <w:ind w:right="4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36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50"/>
        </w:trPr>
        <w:tc>
          <w:tcPr>
            <w:tcW w:w="1740" w:type="dxa"/>
            <w:vAlign w:val="bottom"/>
          </w:tcPr>
          <w:p>
            <w:pPr>
              <w:spacing w:after="0"/>
              <w:rPr>
                <w:sz w:val="24"/>
                <w:szCs w:val="24"/>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2560 GENERAL ARMISTEAD AVENUE, AUDUBON, PA 19403</w:t>
            </w:r>
          </w:p>
        </w:tc>
        <w:tc>
          <w:tcPr>
            <w:tcW w:w="1360" w:type="dxa"/>
            <w:vAlign w:val="bottom"/>
          </w:tcPr>
          <w:p>
            <w:pPr>
              <w:spacing w:after="0"/>
              <w:rPr>
                <w:sz w:val="24"/>
                <w:szCs w:val="24"/>
                <w:color w:val="auto"/>
              </w:rPr>
            </w:pPr>
          </w:p>
        </w:tc>
      </w:tr>
      <w:tr>
        <w:trPr>
          <w:trHeight w:val="190"/>
        </w:trPr>
        <w:tc>
          <w:tcPr>
            <w:tcW w:w="174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tc>
        <w:tc>
          <w:tcPr>
            <w:tcW w:w="1360" w:type="dxa"/>
            <w:vAlign w:val="bottom"/>
          </w:tcPr>
          <w:p>
            <w:pPr>
              <w:spacing w:after="0"/>
              <w:rPr>
                <w:sz w:val="16"/>
                <w:szCs w:val="16"/>
                <w:color w:val="auto"/>
              </w:rPr>
            </w:pPr>
          </w:p>
        </w:tc>
      </w:tr>
      <w:tr>
        <w:trPr>
          <w:trHeight w:val="363"/>
        </w:trPr>
        <w:tc>
          <w:tcPr>
            <w:tcW w:w="1740" w:type="dxa"/>
            <w:vAlign w:val="bottom"/>
          </w:tcPr>
          <w:p>
            <w:pPr>
              <w:spacing w:after="0"/>
              <w:rPr>
                <w:sz w:val="24"/>
                <w:szCs w:val="24"/>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(610) 930-1800</w:t>
            </w:r>
          </w:p>
        </w:tc>
        <w:tc>
          <w:tcPr>
            <w:tcW w:w="1360" w:type="dxa"/>
            <w:vAlign w:val="bottom"/>
          </w:tcPr>
          <w:p>
            <w:pPr>
              <w:spacing w:after="0"/>
              <w:rPr>
                <w:sz w:val="24"/>
                <w:szCs w:val="24"/>
                <w:color w:val="auto"/>
              </w:rPr>
            </w:pPr>
          </w:p>
        </w:tc>
      </w:tr>
      <w:tr>
        <w:trPr>
          <w:trHeight w:val="190"/>
        </w:trPr>
        <w:tc>
          <w:tcPr>
            <w:tcW w:w="1740" w:type="dxa"/>
            <w:vAlign w:val="bottom"/>
          </w:tcPr>
          <w:p>
            <w:pPr>
              <w:spacing w:after="0"/>
              <w:rPr>
                <w:sz w:val="16"/>
                <w:szCs w:val="16"/>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360" w:type="dxa"/>
            <w:vAlign w:val="bottom"/>
          </w:tcPr>
          <w:p>
            <w:pPr>
              <w:spacing w:after="0"/>
              <w:rPr>
                <w:sz w:val="16"/>
                <w:szCs w:val="16"/>
                <w:color w:val="auto"/>
              </w:rPr>
            </w:pPr>
          </w:p>
        </w:tc>
      </w:tr>
      <w:tr>
        <w:trPr>
          <w:trHeight w:val="350"/>
        </w:trPr>
        <w:tc>
          <w:tcPr>
            <w:tcW w:w="1740" w:type="dxa"/>
            <w:vAlign w:val="bottom"/>
          </w:tcPr>
          <w:p>
            <w:pPr>
              <w:spacing w:after="0"/>
              <w:rPr>
                <w:sz w:val="24"/>
                <w:szCs w:val="24"/>
                <w:color w:val="auto"/>
              </w:rPr>
            </w:pPr>
          </w:p>
        </w:tc>
        <w:tc>
          <w:tcPr>
            <w:tcW w:w="538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360" w:type="dxa"/>
            <w:vAlign w:val="bottom"/>
          </w:tcPr>
          <w:p>
            <w:pPr>
              <w:spacing w:after="0"/>
              <w:rPr>
                <w:sz w:val="24"/>
                <w:szCs w:val="24"/>
                <w:color w:val="auto"/>
              </w:rPr>
            </w:pPr>
          </w:p>
        </w:tc>
      </w:tr>
      <w:tr>
        <w:trPr>
          <w:trHeight w:val="190"/>
        </w:trPr>
        <w:tc>
          <w:tcPr>
            <w:tcW w:w="1740" w:type="dxa"/>
            <w:vAlign w:val="bottom"/>
          </w:tcPr>
          <w:p>
            <w:pPr>
              <w:spacing w:after="0"/>
              <w:rPr>
                <w:sz w:val="16"/>
                <w:szCs w:val="16"/>
                <w:color w:val="auto"/>
              </w:rPr>
            </w:pPr>
          </w:p>
        </w:tc>
        <w:tc>
          <w:tcPr>
            <w:tcW w:w="538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360" w:type="dxa"/>
            <w:vAlign w:val="bottom"/>
          </w:tcPr>
          <w:p>
            <w:pPr>
              <w:spacing w:after="0"/>
              <w:rPr>
                <w:sz w:val="16"/>
                <w:szCs w:val="16"/>
                <w:color w:val="auto"/>
              </w:rPr>
            </w:pPr>
          </w:p>
        </w:tc>
      </w:tr>
    </w:tbl>
    <w:p>
      <w:pPr>
        <w:spacing w:after="0" w:line="343"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35" w:lineRule="exact"/>
        <w:rPr>
          <w:sz w:val="24"/>
          <w:szCs w:val="24"/>
          <w:color w:val="auto"/>
        </w:rPr>
      </w:pPr>
    </w:p>
    <w:p>
      <w:pPr>
        <w:ind w:left="500" w:hanging="329"/>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71" w:lineRule="exact"/>
        <w:rPr>
          <w:rFonts w:ascii="Wingdings" w:cs="Wingdings" w:eastAsia="Wingdings" w:hAnsi="Wingdings"/>
          <w:sz w:val="18"/>
          <w:szCs w:val="18"/>
          <w:b w:val="1"/>
          <w:bCs w:val="1"/>
          <w:color w:val="auto"/>
        </w:rPr>
      </w:pPr>
    </w:p>
    <w:p>
      <w:pPr>
        <w:ind w:left="500" w:hanging="329"/>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Wingdings" w:cs="Wingdings" w:eastAsia="Wingdings" w:hAnsi="Wingdings"/>
          <w:sz w:val="18"/>
          <w:szCs w:val="18"/>
          <w:b w:val="1"/>
          <w:bCs w:val="1"/>
          <w:color w:val="auto"/>
        </w:rPr>
      </w:pPr>
    </w:p>
    <w:p>
      <w:pPr>
        <w:ind w:left="500" w:hanging="329"/>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Wingdings" w:cs="Wingdings" w:eastAsia="Wingdings" w:hAnsi="Wingdings"/>
          <w:sz w:val="18"/>
          <w:szCs w:val="18"/>
          <w:b w:val="1"/>
          <w:bCs w:val="1"/>
          <w:color w:val="auto"/>
        </w:rPr>
      </w:pPr>
    </w:p>
    <w:p>
      <w:pPr>
        <w:ind w:left="500" w:hanging="329"/>
        <w:spacing w:after="0"/>
        <w:tabs>
          <w:tab w:leader="none" w:pos="50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8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240"/>
          </w:cols>
          <w:pgMar w:left="320" w:top="196" w:right="339" w:bottom="1440" w:gutter="0" w:footer="0" w:header="0"/>
        </w:sectPr>
      </w:pPr>
    </w:p>
    <w:p>
      <w:pPr>
        <w:jc w:val="center"/>
        <w:ind w:right="220"/>
        <w:spacing w:after="0" w:line="221" w:lineRule="auto"/>
        <w:rPr>
          <w:sz w:val="20"/>
          <w:szCs w:val="20"/>
          <w:color w:val="auto"/>
        </w:rPr>
      </w:pPr>
      <w:r>
        <w:rPr>
          <w:rFonts w:ascii="Times New Roman" w:cs="Times New Roman" w:eastAsia="Times New Roman" w:hAnsi="Times New Roman"/>
          <w:sz w:val="18"/>
          <w:szCs w:val="18"/>
          <w:b w:val="1"/>
          <w:bCs w:val="1"/>
          <w:color w:val="auto"/>
        </w:rPr>
        <w:t>Title of each class</w:t>
      </w:r>
    </w:p>
    <w:p>
      <w:pPr>
        <w:jc w:val="center"/>
        <w:ind w:right="220"/>
        <w:spacing w:after="0"/>
        <w:rPr>
          <w:sz w:val="20"/>
          <w:szCs w:val="20"/>
          <w:color w:val="auto"/>
        </w:rPr>
      </w:pPr>
      <w:r>
        <w:rPr>
          <w:rFonts w:ascii="Times New Roman" w:cs="Times New Roman" w:eastAsia="Times New Roman" w:hAnsi="Times New Roman"/>
          <w:sz w:val="17"/>
          <w:szCs w:val="17"/>
          <w:color w:val="auto"/>
        </w:rPr>
        <w:t>Class A Common Stock, par value $.001 per share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right="680" w:hanging="390"/>
        <w:spacing w:after="0" w:line="219" w:lineRule="auto"/>
        <w:rPr>
          <w:sz w:val="20"/>
          <w:szCs w:val="20"/>
          <w:color w:val="auto"/>
        </w:rPr>
      </w:pPr>
      <w:r>
        <w:rPr>
          <w:rFonts w:ascii="Times New Roman" w:cs="Times New Roman" w:eastAsia="Times New Roman" w:hAnsi="Times New Roman"/>
          <w:sz w:val="18"/>
          <w:szCs w:val="18"/>
          <w:b w:val="1"/>
          <w:bCs w:val="1"/>
          <w:color w:val="auto"/>
        </w:rPr>
        <w:t>Trading Symbols</w:t>
      </w:r>
      <w:r>
        <w:rPr>
          <w:sz w:val="20"/>
          <w:szCs w:val="20"/>
          <w:color w:val="auto"/>
        </w:rPr>
        <w:t xml:space="preserve"> </w:t>
      </w:r>
      <w:r>
        <w:rPr>
          <w:rFonts w:ascii="Times New Roman" w:cs="Times New Roman" w:eastAsia="Times New Roman" w:hAnsi="Times New Roman"/>
          <w:sz w:val="18"/>
          <w:szCs w:val="18"/>
          <w:b w:val="1"/>
          <w:bCs w:val="1"/>
          <w:color w:val="auto"/>
        </w:rPr>
        <w:t xml:space="preserve">Name of exchange on which registered </w:t>
      </w:r>
      <w:r>
        <w:rPr>
          <w:rFonts w:ascii="Times New Roman" w:cs="Times New Roman" w:eastAsia="Times New Roman" w:hAnsi="Times New Roman"/>
          <w:sz w:val="18"/>
          <w:szCs w:val="18"/>
          <w:color w:val="auto"/>
        </w:rPr>
        <w:t>GMED New York Stock Exchange</w:t>
      </w:r>
    </w:p>
    <w:p>
      <w:pPr>
        <w:spacing w:after="0" w:line="144" w:lineRule="exact"/>
        <w:rPr>
          <w:sz w:val="24"/>
          <w:szCs w:val="24"/>
          <w:color w:val="auto"/>
        </w:rPr>
      </w:pPr>
    </w:p>
    <w:p>
      <w:pPr>
        <w:sectPr>
          <w:pgSz w:w="11900" w:h="16838" w:orient="portrait"/>
          <w:cols w:equalWidth="0" w:num="2">
            <w:col w:w="4740" w:space="720"/>
            <w:col w:w="5780"/>
          </w:cols>
          <w:pgMar w:left="320" w:top="196" w:right="339" w:bottom="1440" w:gutter="0" w:footer="0" w:header="0"/>
          <w:type w:val="continuous"/>
        </w:sectPr>
      </w:pPr>
    </w:p>
    <w:p>
      <w:pPr>
        <w:ind w:right="4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3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w:t>
            </w: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0"/>
        </w:trPr>
        <w:tc>
          <w:tcPr>
            <w:tcW w:w="10580" w:type="dxa"/>
            <w:vAlign w:val="bottom"/>
          </w:tcPr>
          <w:p>
            <w:pPr>
              <w:spacing w:after="0"/>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w:t>
            </w:r>
          </w:p>
        </w:tc>
        <w:tc>
          <w:tcPr>
            <w:tcW w:w="660" w:type="dxa"/>
            <w:vAlign w:val="bottom"/>
            <w:vMerge w:val="restart"/>
          </w:tcPr>
          <w:p>
            <w:pPr>
              <w:ind w:left="140"/>
              <w:spacing w:after="0"/>
              <w:rPr>
                <w:sz w:val="20"/>
                <w:szCs w:val="20"/>
                <w:color w:val="auto"/>
              </w:rPr>
            </w:pPr>
            <w:r>
              <w:rPr>
                <w:rFonts w:ascii="Wingdings" w:cs="Wingdings" w:eastAsia="Wingdings" w:hAnsi="Wingdings"/>
                <w:sz w:val="18"/>
                <w:szCs w:val="18"/>
                <w:b w:val="1"/>
                <w:bCs w:val="1"/>
                <w:color w:val="auto"/>
                <w:w w:val="95"/>
              </w:rPr>
              <w:t></w:t>
            </w:r>
          </w:p>
        </w:tc>
        <w:tc>
          <w:tcPr>
            <w:tcW w:w="0" w:type="dxa"/>
            <w:vAlign w:val="bottom"/>
          </w:tcPr>
          <w:p>
            <w:pPr>
              <w:spacing w:after="0"/>
              <w:rPr>
                <w:sz w:val="1"/>
                <w:szCs w:val="1"/>
                <w:color w:val="auto"/>
              </w:rPr>
            </w:pPr>
          </w:p>
        </w:tc>
      </w:tr>
      <w:tr>
        <w:trPr>
          <w:trHeight w:val="108"/>
        </w:trPr>
        <w:tc>
          <w:tcPr>
            <w:tcW w:w="105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any new or revised financial accounting standards provided pursuant to Section 13(a) of the Exchange Act.</w:t>
            </w:r>
          </w:p>
        </w:tc>
        <w:tc>
          <w:tcPr>
            <w:tcW w:w="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580" w:type="dxa"/>
            <w:vAlign w:val="bottom"/>
            <w:vMerge w:val="continue"/>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8"/>
        </w:trPr>
        <w:tc>
          <w:tcPr>
            <w:tcW w:w="105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96" w:right="339" w:bottom="1440" w:gutter="0" w:footer="0" w:header="0"/>
          <w:type w:val="continuous"/>
        </w:sectPr>
      </w:pPr>
    </w:p>
    <w:bookmarkStart w:id="1" w:name="page2"/>
    <w:bookmarkEnd w:id="1"/>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59" w:lineRule="exact"/>
        <w:rPr>
          <w:sz w:val="20"/>
          <w:szCs w:val="20"/>
          <w:color w:val="auto"/>
        </w:rPr>
      </w:pPr>
    </w:p>
    <w:p>
      <w:pPr>
        <w:jc w:val="both"/>
        <w:ind w:firstLine="8"/>
        <w:spacing w:after="0" w:line="258" w:lineRule="auto"/>
        <w:tabs>
          <w:tab w:leader="none" w:pos="64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4, 2025, Globus Medical, Inc. (the “Company”) held its 2025 Annual Meeting of Stockholders (the “Annual Meeting”) at which the Company’s stockholders approved the amendment to the 2021 Equity Incentive Plan (the “2021 Equity Incentive Plan Amendment”). The 2021 Equity Incentive Plan Amendment had been previously recommended for approval by the Company’s Compensation Committee of the Board of Directors and previously approved by the Company’s Board of Directors, in each case, subject to stockholder approval. The 2021 Equity Incentive Plan Amendment became effective as of the date of such stockholder approval – June 4, 2025.</w:t>
      </w:r>
    </w:p>
    <w:p>
      <w:pPr>
        <w:spacing w:after="0" w:line="179" w:lineRule="exact"/>
        <w:rPr>
          <w:sz w:val="20"/>
          <w:szCs w:val="20"/>
          <w:color w:val="auto"/>
        </w:rPr>
      </w:pPr>
    </w:p>
    <w:p>
      <w:pPr>
        <w:jc w:val="both"/>
        <w:ind w:firstLine="648"/>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The material features of the 2021 Equity Incentive Plan, as amended, are described in the section entitled </w:t>
      </w:r>
      <w:r>
        <w:rPr>
          <w:rFonts w:ascii="Times New Roman" w:cs="Times New Roman" w:eastAsia="Times New Roman" w:hAnsi="Times New Roman"/>
          <w:sz w:val="18"/>
          <w:szCs w:val="18"/>
          <w:b w:val="1"/>
          <w:bCs w:val="1"/>
          <w:color w:val="auto"/>
        </w:rPr>
        <w:t>Proposal 2; Approval of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to the 2021 Equity Incentive Plan </w:t>
      </w:r>
      <w:r>
        <w:rPr>
          <w:rFonts w:ascii="Times New Roman" w:cs="Times New Roman" w:eastAsia="Times New Roman" w:hAnsi="Times New Roman"/>
          <w:sz w:val="18"/>
          <w:szCs w:val="18"/>
          <w:color w:val="auto"/>
        </w:rPr>
        <w:t>appearing on pages 20-21 of the Company’s definitive Proxy Statement on</w:t>
      </w:r>
      <w:r>
        <w:rPr>
          <w:rFonts w:ascii="Times New Roman" w:cs="Times New Roman" w:eastAsia="Times New Roman" w:hAnsi="Times New Roman"/>
          <w:sz w:val="18"/>
          <w:szCs w:val="18"/>
          <w:b w:val="1"/>
          <w:bCs w:val="1"/>
          <w:color w:val="auto"/>
        </w:rPr>
        <w:t xml:space="preserve"> </w:t>
      </w:r>
      <w:hyperlink r:id="rId10">
        <w:r>
          <w:rPr>
            <w:rFonts w:ascii="Times New Roman" w:cs="Times New Roman" w:eastAsia="Times New Roman" w:hAnsi="Times New Roman"/>
            <w:sz w:val="18"/>
            <w:szCs w:val="18"/>
            <w:u w:val="single" w:color="auto"/>
            <w:color w:val="0000FF"/>
          </w:rPr>
          <w:t>Schedule 14A filed on April 25, 2025</w:t>
        </w:r>
        <w:r>
          <w:rPr>
            <w:rFonts w:ascii="Times New Roman" w:cs="Times New Roman" w:eastAsia="Times New Roman" w:hAnsi="Times New Roman"/>
            <w:sz w:val="18"/>
            <w:szCs w:val="18"/>
            <w:b w:val="1"/>
            <w:bCs w:val="1"/>
            <w:u w:val="single" w:color="auto"/>
            <w:color w:val="auto"/>
          </w:rPr>
          <w:t xml:space="preserve"> </w:t>
        </w:r>
      </w:hyperlink>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the 2025 Annual Meeting, which description is incorporated herein by reference. A copy of the 2021 Equity Incentive Plan as Amended is filed as Exhibit 10.1 hereto and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5235575</wp:posOffset>
            </wp:positionH>
            <wp:positionV relativeFrom="paragraph">
              <wp:posOffset>-310515</wp:posOffset>
            </wp:positionV>
            <wp:extent cx="17741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Annual Meeting was held on June 4, 2025. At the Annual Meeting, the stockholders voted on the following four proposals and cast their votes as described below.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individuals listed below were each elected at the Annual Meeting to serve a three-year term on the Company’s Board of Directors.</w:t>
      </w:r>
    </w:p>
    <w:p>
      <w:pPr>
        <w:spacing w:after="0" w:line="225"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520" w:type="dxa"/>
            <w:vAlign w:val="bottom"/>
          </w:tcPr>
          <w:p>
            <w:pPr>
              <w:spacing w:after="0"/>
              <w:rPr>
                <w:sz w:val="17"/>
                <w:szCs w:val="17"/>
                <w:color w:val="auto"/>
              </w:rPr>
            </w:pPr>
          </w:p>
        </w:tc>
        <w:tc>
          <w:tcPr>
            <w:tcW w:w="16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9"/>
              </w:rPr>
              <w:t>Nominee</w:t>
            </w:r>
          </w:p>
        </w:tc>
        <w:tc>
          <w:tcPr>
            <w:tcW w:w="740" w:type="dxa"/>
            <w:vAlign w:val="bottom"/>
          </w:tcPr>
          <w:p>
            <w:pPr>
              <w:spacing w:after="0"/>
              <w:rPr>
                <w:sz w:val="17"/>
                <w:szCs w:val="17"/>
                <w:color w:val="auto"/>
              </w:rPr>
            </w:pPr>
          </w:p>
        </w:tc>
        <w:tc>
          <w:tcPr>
            <w:tcW w:w="1260" w:type="dxa"/>
            <w:vAlign w:val="bottom"/>
            <w:gridSpan w:val="2"/>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540" w:type="dxa"/>
            <w:vAlign w:val="bottom"/>
            <w:gridSpan w:val="3"/>
          </w:tcPr>
          <w:p>
            <w:pPr>
              <w:ind w:left="70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w:t>
            </w:r>
          </w:p>
        </w:tc>
      </w:tr>
      <w:tr>
        <w:trPr>
          <w:trHeight w:val="20"/>
        </w:trPr>
        <w:tc>
          <w:tcPr>
            <w:tcW w:w="5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r>
      <w:tr>
        <w:trPr>
          <w:trHeight w:val="291"/>
        </w:trPr>
        <w:tc>
          <w:tcPr>
            <w:tcW w:w="21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rPr>
              <w:t>David C. Paul</w:t>
            </w:r>
          </w:p>
        </w:tc>
        <w:tc>
          <w:tcPr>
            <w:tcW w:w="2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272,640,657</w:t>
            </w:r>
          </w:p>
        </w:tc>
        <w:tc>
          <w:tcPr>
            <w:tcW w:w="2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50,785,179</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6,445,223</w:t>
            </w:r>
          </w:p>
        </w:tc>
      </w:tr>
      <w:tr>
        <w:trPr>
          <w:trHeight w:val="270"/>
        </w:trPr>
        <w:tc>
          <w:tcPr>
            <w:tcW w:w="21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Daniel T. Lemaitre</w:t>
            </w:r>
          </w:p>
        </w:tc>
        <w:tc>
          <w:tcPr>
            <w:tcW w:w="20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w w:val="99"/>
              </w:rPr>
              <w:t>315,737,236</w:t>
            </w:r>
          </w:p>
        </w:tc>
        <w:tc>
          <w:tcPr>
            <w:tcW w:w="1420" w:type="dxa"/>
            <w:vAlign w:val="bottom"/>
            <w:gridSpan w:val="2"/>
          </w:tcPr>
          <w:p>
            <w:pPr>
              <w:jc w:val="center"/>
              <w:ind w:left="610"/>
              <w:spacing w:after="0"/>
              <w:rPr>
                <w:sz w:val="20"/>
                <w:szCs w:val="20"/>
                <w:color w:val="auto"/>
              </w:rPr>
            </w:pPr>
            <w:r>
              <w:rPr>
                <w:rFonts w:ascii="Times New Roman" w:cs="Times New Roman" w:eastAsia="Times New Roman" w:hAnsi="Times New Roman"/>
                <w:sz w:val="18"/>
                <w:szCs w:val="18"/>
                <w:color w:val="auto"/>
                <w:w w:val="99"/>
              </w:rPr>
              <w:t>7,688,600</w:t>
            </w:r>
          </w:p>
        </w:tc>
        <w:tc>
          <w:tcPr>
            <w:tcW w:w="112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6,445,223</w:t>
            </w:r>
          </w:p>
        </w:tc>
      </w:tr>
      <w:tr>
        <w:trPr>
          <w:trHeight w:val="270"/>
        </w:trPr>
        <w:tc>
          <w:tcPr>
            <w:tcW w:w="216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auto"/>
                <w:w w:val="98"/>
              </w:rPr>
              <w:t>Leslie V. Norwalk, Esq.</w:t>
            </w:r>
          </w:p>
        </w:tc>
        <w:tc>
          <w:tcPr>
            <w:tcW w:w="2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311,790,280</w:t>
            </w:r>
          </w:p>
        </w:tc>
        <w:tc>
          <w:tcPr>
            <w:tcW w:w="2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11,635,556</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6,445,223</w:t>
            </w:r>
          </w:p>
        </w:tc>
      </w:tr>
      <w:tr>
        <w:trPr>
          <w:trHeight w:val="270"/>
        </w:trPr>
        <w:tc>
          <w:tcPr>
            <w:tcW w:w="216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Ann D. Rhoads</w:t>
            </w:r>
          </w:p>
        </w:tc>
        <w:tc>
          <w:tcPr>
            <w:tcW w:w="200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color w:val="auto"/>
                <w:w w:val="97"/>
              </w:rPr>
              <w:t>285,411,658</w:t>
            </w:r>
          </w:p>
        </w:tc>
        <w:tc>
          <w:tcPr>
            <w:tcW w:w="2540" w:type="dxa"/>
            <w:vAlign w:val="bottom"/>
            <w:gridSpan w:val="3"/>
          </w:tcPr>
          <w:p>
            <w:pPr>
              <w:jc w:val="center"/>
              <w:ind w:right="420"/>
              <w:spacing w:after="0"/>
              <w:rPr>
                <w:sz w:val="20"/>
                <w:szCs w:val="20"/>
                <w:color w:val="auto"/>
              </w:rPr>
            </w:pPr>
            <w:r>
              <w:rPr>
                <w:rFonts w:ascii="Times New Roman" w:cs="Times New Roman" w:eastAsia="Times New Roman" w:hAnsi="Times New Roman"/>
                <w:sz w:val="18"/>
                <w:szCs w:val="18"/>
                <w:color w:val="auto"/>
                <w:w w:val="98"/>
              </w:rPr>
              <w:t>38,014,178</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6,445,223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Approval of the Amendment to the 2021 Equity Incentive Plan:</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00" w:type="dxa"/>
            <w:vAlign w:val="bottom"/>
          </w:tcPr>
          <w:p>
            <w:pPr>
              <w:spacing w:after="0"/>
              <w:rPr>
                <w:sz w:val="18"/>
                <w:szCs w:val="18"/>
                <w:color w:val="auto"/>
              </w:rPr>
            </w:pPr>
          </w:p>
        </w:tc>
        <w:tc>
          <w:tcPr>
            <w:tcW w:w="11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80" w:type="dxa"/>
            <w:vAlign w:val="bottom"/>
          </w:tcPr>
          <w:p>
            <w:pPr>
              <w:spacing w:after="0"/>
              <w:rPr>
                <w:sz w:val="18"/>
                <w:szCs w:val="18"/>
                <w:color w:val="auto"/>
              </w:rPr>
            </w:pPr>
          </w:p>
        </w:tc>
        <w:tc>
          <w:tcPr>
            <w:tcW w:w="1460" w:type="dxa"/>
            <w:vAlign w:val="bottom"/>
            <w:gridSpan w:val="2"/>
          </w:tcPr>
          <w:p>
            <w:pPr>
              <w:jc w:val="center"/>
              <w:ind w:right="8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020" w:type="dxa"/>
            <w:vAlign w:val="bottom"/>
            <w:gridSpan w:val="3"/>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98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0"/>
        </w:trPr>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90"/>
        </w:trPr>
        <w:tc>
          <w:tcPr>
            <w:tcW w:w="1460" w:type="dxa"/>
            <w:vAlign w:val="bottom"/>
            <w:gridSpan w:val="3"/>
          </w:tcPr>
          <w:p>
            <w:pPr>
              <w:jc w:val="right"/>
              <w:ind w:right="560"/>
              <w:spacing w:after="0"/>
              <w:rPr>
                <w:sz w:val="20"/>
                <w:szCs w:val="20"/>
                <w:color w:val="auto"/>
              </w:rPr>
            </w:pPr>
            <w:r>
              <w:rPr>
                <w:rFonts w:ascii="Times New Roman" w:cs="Times New Roman" w:eastAsia="Times New Roman" w:hAnsi="Times New Roman"/>
                <w:sz w:val="18"/>
                <w:szCs w:val="18"/>
                <w:color w:val="auto"/>
                <w:w w:val="97"/>
              </w:rPr>
              <w:t>247,350,637</w:t>
            </w:r>
          </w:p>
        </w:tc>
        <w:tc>
          <w:tcPr>
            <w:tcW w:w="2140" w:type="dxa"/>
            <w:vAlign w:val="bottom"/>
            <w:gridSpan w:val="3"/>
          </w:tcPr>
          <w:p>
            <w:pPr>
              <w:jc w:val="right"/>
              <w:ind w:right="760"/>
              <w:spacing w:after="0"/>
              <w:rPr>
                <w:sz w:val="20"/>
                <w:szCs w:val="20"/>
                <w:color w:val="auto"/>
              </w:rPr>
            </w:pPr>
            <w:r>
              <w:rPr>
                <w:rFonts w:ascii="Times New Roman" w:cs="Times New Roman" w:eastAsia="Times New Roman" w:hAnsi="Times New Roman"/>
                <w:sz w:val="18"/>
                <w:szCs w:val="18"/>
                <w:color w:val="auto"/>
              </w:rPr>
              <w:t>76,025,441</w:t>
            </w: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49,758</w:t>
            </w:r>
          </w:p>
        </w:tc>
        <w:tc>
          <w:tcPr>
            <w:tcW w:w="660" w:type="dxa"/>
            <w:vAlign w:val="bottom"/>
          </w:tcPr>
          <w:p>
            <w:pPr>
              <w:spacing w:after="0"/>
              <w:rPr>
                <w:sz w:val="24"/>
                <w:szCs w:val="24"/>
                <w:color w:val="auto"/>
              </w:rPr>
            </w:pP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6,445,223</w:t>
            </w:r>
          </w:p>
        </w:tc>
      </w:tr>
    </w:tbl>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Ratification of the appointment of Deloitte &amp; Touche LLP as the Company’s independent registered public accounting firm for the fiscal year ending December 31, 2025. This proposal was approved.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8"/>
                <w:szCs w:val="18"/>
                <w:color w:val="auto"/>
              </w:rPr>
            </w:pPr>
          </w:p>
        </w:tc>
        <w:tc>
          <w:tcPr>
            <w:tcW w:w="1840" w:type="dxa"/>
            <w:vAlign w:val="bottom"/>
            <w:gridSpan w:val="2"/>
          </w:tcPr>
          <w:p>
            <w:pPr>
              <w:jc w:val="center"/>
              <w:ind w:right="15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08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5040" w:type="dxa"/>
            <w:vAlign w:val="bottom"/>
            <w:gridSpan w:val="3"/>
          </w:tcPr>
          <w:p>
            <w:pPr>
              <w:jc w:val="center"/>
              <w:ind w:right="238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0"/>
        </w:trPr>
        <w:tc>
          <w:tcPr>
            <w:tcW w:w="8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91"/>
        </w:trPr>
        <w:tc>
          <w:tcPr>
            <w:tcW w:w="272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rPr>
              <w:t>329,151,186</w:t>
            </w:r>
          </w:p>
        </w:tc>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w w:val="95"/>
              </w:rPr>
              <w:t>689,046</w:t>
            </w:r>
          </w:p>
        </w:tc>
        <w:tc>
          <w:tcPr>
            <w:tcW w:w="820" w:type="dxa"/>
            <w:vAlign w:val="bottom"/>
          </w:tcPr>
          <w:p>
            <w:pPr>
              <w:spacing w:after="0"/>
              <w:rPr>
                <w:sz w:val="24"/>
                <w:szCs w:val="24"/>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30,827</w:t>
            </w:r>
          </w:p>
        </w:tc>
        <w:tc>
          <w:tcPr>
            <w:tcW w:w="660" w:type="dxa"/>
            <w:vAlign w:val="bottom"/>
          </w:tcPr>
          <w:p>
            <w:pPr>
              <w:spacing w:after="0"/>
              <w:rPr>
                <w:sz w:val="24"/>
                <w:szCs w:val="24"/>
                <w:color w:val="auto"/>
              </w:rPr>
            </w:pPr>
          </w:p>
        </w:tc>
        <w:tc>
          <w:tcPr>
            <w:tcW w:w="198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0</w:t>
            </w:r>
          </w:p>
        </w:tc>
        <w:tc>
          <w:tcPr>
            <w:tcW w:w="3060" w:type="dxa"/>
            <w:vAlign w:val="bottom"/>
          </w:tcPr>
          <w:p>
            <w:pPr>
              <w:spacing w:after="0"/>
              <w:rPr>
                <w:sz w:val="24"/>
                <w:szCs w:val="24"/>
                <w:color w:val="auto"/>
              </w:rPr>
            </w:pPr>
          </w:p>
        </w:tc>
      </w:tr>
      <w:tr>
        <w:trPr>
          <w:trHeight w:val="938"/>
        </w:trPr>
        <w:tc>
          <w:tcPr>
            <w:tcW w:w="8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 non-binding advisory vote to approve the compensation of the Company’s named executive officers, as described in the Company’s definitive proxy statement on Schedule 14A filed with the Securities and Exchange Commission. This proposal was approved.</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300" w:type="dxa"/>
            <w:vAlign w:val="bottom"/>
          </w:tcPr>
          <w:p>
            <w:pPr>
              <w:spacing w:after="0"/>
              <w:rPr>
                <w:sz w:val="17"/>
                <w:szCs w:val="17"/>
                <w:color w:val="auto"/>
              </w:rPr>
            </w:pPr>
          </w:p>
        </w:tc>
        <w:tc>
          <w:tcPr>
            <w:tcW w:w="1180" w:type="dxa"/>
            <w:vAlign w:val="bottom"/>
            <w:gridSpan w:val="2"/>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660" w:type="dxa"/>
            <w:vAlign w:val="bottom"/>
          </w:tcPr>
          <w:p>
            <w:pPr>
              <w:spacing w:after="0"/>
              <w:rPr>
                <w:sz w:val="17"/>
                <w:szCs w:val="17"/>
                <w:color w:val="auto"/>
              </w:rPr>
            </w:pPr>
          </w:p>
        </w:tc>
        <w:tc>
          <w:tcPr>
            <w:tcW w:w="1440" w:type="dxa"/>
            <w:vAlign w:val="bottom"/>
            <w:gridSpan w:val="2"/>
          </w:tcPr>
          <w:p>
            <w:pPr>
              <w:jc w:val="center"/>
              <w:ind w:right="86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040" w:type="dxa"/>
            <w:vAlign w:val="bottom"/>
            <w:gridSpan w:val="3"/>
          </w:tcPr>
          <w:p>
            <w:pPr>
              <w:ind w:left="78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980" w:type="dxa"/>
            <w:vAlign w:val="bottom"/>
            <w:gridSpan w:val="2"/>
          </w:tcPr>
          <w:p>
            <w:pPr>
              <w:jc w:val="center"/>
              <w:ind w:left="590"/>
              <w:spacing w:after="0"/>
              <w:rPr>
                <w:sz w:val="20"/>
                <w:szCs w:val="20"/>
                <w:color w:val="auto"/>
              </w:rPr>
            </w:pPr>
            <w:r>
              <w:rPr>
                <w:rFonts w:ascii="Times New Roman" w:cs="Times New Roman" w:eastAsia="Times New Roman" w:hAnsi="Times New Roman"/>
                <w:sz w:val="18"/>
                <w:szCs w:val="18"/>
                <w:b w:val="1"/>
                <w:bCs w:val="1"/>
                <w:color w:val="auto"/>
                <w:w w:val="97"/>
              </w:rPr>
              <w:t>Broker Non-Vote</w:t>
            </w:r>
          </w:p>
        </w:tc>
      </w:tr>
      <w:tr>
        <w:trPr>
          <w:trHeight w:val="20"/>
        </w:trPr>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r>
        <w:trPr>
          <w:trHeight w:val="291"/>
        </w:trPr>
        <w:tc>
          <w:tcPr>
            <w:tcW w:w="1480" w:type="dxa"/>
            <w:vAlign w:val="bottom"/>
            <w:gridSpan w:val="3"/>
          </w:tcPr>
          <w:p>
            <w:pPr>
              <w:jc w:val="right"/>
              <w:ind w:right="580"/>
              <w:spacing w:after="0"/>
              <w:rPr>
                <w:sz w:val="20"/>
                <w:szCs w:val="20"/>
                <w:color w:val="auto"/>
              </w:rPr>
            </w:pPr>
            <w:r>
              <w:rPr>
                <w:rFonts w:ascii="Times New Roman" w:cs="Times New Roman" w:eastAsia="Times New Roman" w:hAnsi="Times New Roman"/>
                <w:sz w:val="18"/>
                <w:szCs w:val="18"/>
                <w:color w:val="auto"/>
                <w:w w:val="97"/>
              </w:rPr>
              <w:t>315,631,443</w:t>
            </w:r>
          </w:p>
        </w:tc>
        <w:tc>
          <w:tcPr>
            <w:tcW w:w="2100" w:type="dxa"/>
            <w:vAlign w:val="bottom"/>
            <w:gridSpan w:val="3"/>
          </w:tcPr>
          <w:p>
            <w:pPr>
              <w:jc w:val="right"/>
              <w:ind w:right="800"/>
              <w:spacing w:after="0"/>
              <w:rPr>
                <w:sz w:val="20"/>
                <w:szCs w:val="20"/>
                <w:color w:val="auto"/>
              </w:rPr>
            </w:pPr>
            <w:r>
              <w:rPr>
                <w:rFonts w:ascii="Times New Roman" w:cs="Times New Roman" w:eastAsia="Times New Roman" w:hAnsi="Times New Roman"/>
                <w:sz w:val="18"/>
                <w:szCs w:val="18"/>
                <w:color w:val="auto"/>
              </w:rPr>
              <w:t>7,648,895</w:t>
            </w:r>
          </w:p>
        </w:tc>
        <w:tc>
          <w:tcPr>
            <w:tcW w:w="138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w w:val="95"/>
              </w:rPr>
              <w:t>145,498</w:t>
            </w:r>
          </w:p>
        </w:tc>
        <w:tc>
          <w:tcPr>
            <w:tcW w:w="660" w:type="dxa"/>
            <w:vAlign w:val="bottom"/>
          </w:tcPr>
          <w:p>
            <w:pPr>
              <w:spacing w:after="0"/>
              <w:rPr>
                <w:sz w:val="24"/>
                <w:szCs w:val="24"/>
                <w:color w:val="auto"/>
              </w:rPr>
            </w:pPr>
          </w:p>
        </w:tc>
        <w:tc>
          <w:tcPr>
            <w:tcW w:w="19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6,445,223</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216" w:lineRule="exact"/>
        <w:rPr>
          <w:sz w:val="20"/>
          <w:szCs w:val="20"/>
          <w:color w:val="auto"/>
        </w:rPr>
      </w:pPr>
    </w:p>
    <w:p>
      <w:pPr>
        <w:ind w:right="120" w:firstLine="648"/>
        <w:spacing w:after="0" w:line="250" w:lineRule="auto"/>
        <w:rPr>
          <w:sz w:val="20"/>
          <w:szCs w:val="20"/>
          <w:color w:val="auto"/>
        </w:rPr>
      </w:pPr>
      <w:r>
        <w:rPr>
          <w:rFonts w:ascii="Times New Roman" w:cs="Times New Roman" w:eastAsia="Times New Roman" w:hAnsi="Times New Roman"/>
          <w:sz w:val="18"/>
          <w:szCs w:val="18"/>
          <w:color w:val="auto"/>
        </w:rPr>
        <w:t>A non-binding advisory vote on the preferred frequency of the advisory vote on the compensation of the Company’s named executive officers, as described in the Company’s definitive proxy statement on Schedule 14A filed with the Securities and Exchange Commission. “1 Year” was approved.</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200" w:type="dxa"/>
            <w:vAlign w:val="bottom"/>
          </w:tcPr>
          <w:p>
            <w:pPr>
              <w:spacing w:after="0"/>
              <w:rPr>
                <w:sz w:val="17"/>
                <w:szCs w:val="17"/>
                <w:color w:val="auto"/>
              </w:rPr>
            </w:pPr>
          </w:p>
        </w:tc>
        <w:tc>
          <w:tcPr>
            <w:tcW w:w="1940" w:type="dxa"/>
            <w:vAlign w:val="bottom"/>
            <w:gridSpan w:val="2"/>
          </w:tcPr>
          <w:p>
            <w:pPr>
              <w:jc w:val="center"/>
              <w:ind w:right="1460"/>
              <w:spacing w:after="0"/>
              <w:rPr>
                <w:sz w:val="20"/>
                <w:szCs w:val="20"/>
                <w:color w:val="auto"/>
              </w:rPr>
            </w:pPr>
            <w:r>
              <w:rPr>
                <w:rFonts w:ascii="Times New Roman" w:cs="Times New Roman" w:eastAsia="Times New Roman" w:hAnsi="Times New Roman"/>
                <w:sz w:val="18"/>
                <w:szCs w:val="18"/>
                <w:b w:val="1"/>
                <w:bCs w:val="1"/>
                <w:color w:val="auto"/>
                <w:w w:val="93"/>
              </w:rPr>
              <w:t>1 Year</w:t>
            </w:r>
          </w:p>
        </w:tc>
        <w:tc>
          <w:tcPr>
            <w:tcW w:w="140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5"/>
              </w:rPr>
              <w:t>2 Years</w:t>
            </w:r>
          </w:p>
        </w:tc>
        <w:tc>
          <w:tcPr>
            <w:tcW w:w="840" w:type="dxa"/>
            <w:vAlign w:val="bottom"/>
          </w:tcPr>
          <w:p>
            <w:pPr>
              <w:spacing w:after="0"/>
              <w:rPr>
                <w:sz w:val="17"/>
                <w:szCs w:val="17"/>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3 Years</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Abstain</w:t>
            </w:r>
          </w:p>
        </w:tc>
      </w:tr>
      <w:tr>
        <w:trPr>
          <w:trHeight w:val="20"/>
        </w:trPr>
        <w:tc>
          <w:tcPr>
            <w:tcW w:w="2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r>
      <w:tr>
        <w:trPr>
          <w:trHeight w:val="291"/>
        </w:trPr>
        <w:tc>
          <w:tcPr>
            <w:tcW w:w="2140" w:type="dxa"/>
            <w:vAlign w:val="bottom"/>
            <w:gridSpan w:val="3"/>
          </w:tcPr>
          <w:p>
            <w:pPr>
              <w:jc w:val="right"/>
              <w:ind w:right="1240"/>
              <w:spacing w:after="0"/>
              <w:rPr>
                <w:sz w:val="20"/>
                <w:szCs w:val="20"/>
                <w:color w:val="auto"/>
              </w:rPr>
            </w:pPr>
            <w:r>
              <w:rPr>
                <w:rFonts w:ascii="Times New Roman" w:cs="Times New Roman" w:eastAsia="Times New Roman" w:hAnsi="Times New Roman"/>
                <w:sz w:val="18"/>
                <w:szCs w:val="18"/>
                <w:color w:val="auto"/>
                <w:w w:val="97"/>
              </w:rPr>
              <w:t>322,479,669</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26,583</w:t>
            </w:r>
          </w:p>
        </w:tc>
        <w:tc>
          <w:tcPr>
            <w:tcW w:w="840" w:type="dxa"/>
            <w:vAlign w:val="bottom"/>
          </w:tcPr>
          <w:p>
            <w:pPr>
              <w:spacing w:after="0"/>
              <w:rPr>
                <w:sz w:val="24"/>
                <w:szCs w:val="24"/>
                <w:color w:val="auto"/>
              </w:rPr>
            </w:pPr>
          </w:p>
        </w:tc>
        <w:tc>
          <w:tcPr>
            <w:tcW w:w="3100" w:type="dxa"/>
            <w:vAlign w:val="bottom"/>
            <w:gridSpan w:val="3"/>
          </w:tcPr>
          <w:p>
            <w:pPr>
              <w:ind w:left="840"/>
              <w:spacing w:after="0"/>
              <w:rPr>
                <w:sz w:val="20"/>
                <w:szCs w:val="20"/>
                <w:color w:val="auto"/>
              </w:rPr>
            </w:pPr>
            <w:r>
              <w:rPr>
                <w:rFonts w:ascii="Times New Roman" w:cs="Times New Roman" w:eastAsia="Times New Roman" w:hAnsi="Times New Roman"/>
                <w:sz w:val="18"/>
                <w:szCs w:val="18"/>
                <w:color w:val="auto"/>
              </w:rPr>
              <w:t>809,565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110,019</w:t>
            </w:r>
          </w:p>
        </w:tc>
      </w:tr>
    </w:tbl>
    <w:p>
      <w:pPr>
        <w:spacing w:after="0" w:line="333" w:lineRule="exact"/>
        <w:rPr>
          <w:sz w:val="20"/>
          <w:szCs w:val="20"/>
          <w:color w:val="auto"/>
        </w:rPr>
      </w:pPr>
    </w:p>
    <w:p>
      <w:pPr>
        <w:jc w:val="both"/>
        <w:ind w:firstLine="8"/>
        <w:spacing w:after="0" w:line="261" w:lineRule="auto"/>
        <w:tabs>
          <w:tab w:leader="none" w:pos="2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disclosed above, the stockholders recommended holding an advisory vote on executive compensation every year. Consistent with the voting results, the Board of Directors (the “Board”) of the Company has determined that the Company will hold future advisory votes on executive compensation every year until the next required advisory vote on the frequency of stockholder advisory votes on executive compensation, which shall be no later than the Company’s annual meeting in 2031.</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1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34"/>
        </w:trPr>
        <w:tc>
          <w:tcPr>
            <w:tcW w:w="2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Number</w:t>
            </w:r>
          </w:p>
        </w:tc>
        <w:tc>
          <w:tcPr>
            <w:tcW w:w="70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Description</w:t>
            </w:r>
          </w:p>
        </w:tc>
        <w:tc>
          <w:tcPr>
            <w:tcW w:w="1520" w:type="dxa"/>
            <w:vAlign w:val="bottom"/>
          </w:tcPr>
          <w:p>
            <w:pPr>
              <w:spacing w:after="0"/>
              <w:rPr>
                <w:sz w:val="20"/>
                <w:szCs w:val="20"/>
                <w:color w:val="auto"/>
              </w:rPr>
            </w:pPr>
          </w:p>
        </w:tc>
      </w:tr>
      <w:tr>
        <w:trPr>
          <w:trHeight w:val="169"/>
        </w:trPr>
        <w:tc>
          <w:tcPr>
            <w:tcW w:w="2680" w:type="dxa"/>
            <w:vAlign w:val="bottom"/>
          </w:tcPr>
          <w:p>
            <w:pPr>
              <w:spacing w:after="0" w:line="169" w:lineRule="exact"/>
              <w:rPr>
                <w:sz w:val="20"/>
                <w:szCs w:val="20"/>
                <w:color w:val="auto"/>
              </w:rPr>
            </w:pPr>
            <w:r>
              <w:rPr>
                <w:rFonts w:ascii="Times New Roman" w:cs="Times New Roman" w:eastAsia="Times New Roman" w:hAnsi="Times New Roman"/>
                <w:sz w:val="18"/>
                <w:szCs w:val="18"/>
                <w:color w:val="auto"/>
              </w:rPr>
              <w:t>10.1</w:t>
            </w:r>
          </w:p>
        </w:tc>
        <w:tc>
          <w:tcPr>
            <w:tcW w:w="2900" w:type="dxa"/>
            <w:vAlign w:val="bottom"/>
            <w:tcBorders>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9"/>
              </w:rPr>
              <w:t>2021 Equity Incentive Plan, as amended</w:t>
            </w:r>
          </w:p>
        </w:tc>
        <w:tc>
          <w:tcPr>
            <w:tcW w:w="20" w:type="dxa"/>
            <w:vAlign w:val="bottom"/>
            <w:tcBorders>
              <w:bottom w:val="single" w:sz="8" w:color="0000EE"/>
            </w:tcBorders>
          </w:tcPr>
          <w:p>
            <w:pPr>
              <w:spacing w:after="0"/>
              <w:rPr>
                <w:sz w:val="14"/>
                <w:szCs w:val="14"/>
                <w:color w:val="auto"/>
              </w:rPr>
            </w:pPr>
          </w:p>
        </w:tc>
        <w:tc>
          <w:tcPr>
            <w:tcW w:w="412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37"/>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in Inline XBRL)</w:t>
            </w:r>
          </w:p>
        </w:tc>
        <w:tc>
          <w:tcPr>
            <w:tcW w:w="1520" w:type="dxa"/>
            <w:vAlign w:val="bottom"/>
          </w:tcPr>
          <w:p>
            <w:pPr>
              <w:spacing w:after="0"/>
              <w:rPr>
                <w:sz w:val="20"/>
                <w:szCs w:val="20"/>
                <w:color w:val="auto"/>
              </w:rPr>
            </w:pPr>
          </w:p>
        </w:tc>
      </w:tr>
      <w:tr>
        <w:trPr>
          <w:trHeight w:val="830"/>
        </w:trPr>
        <w:tc>
          <w:tcPr>
            <w:tcW w:w="2680" w:type="dxa"/>
            <w:vAlign w:val="bottom"/>
            <w:tcBorders>
              <w:bottom w:val="single" w:sz="8" w:color="9A9A9A"/>
            </w:tcBorders>
          </w:tcPr>
          <w:p>
            <w:pPr>
              <w:spacing w:after="0"/>
              <w:rPr>
                <w:sz w:val="24"/>
                <w:szCs w:val="24"/>
                <w:color w:val="auto"/>
              </w:rPr>
            </w:pPr>
          </w:p>
        </w:tc>
        <w:tc>
          <w:tcPr>
            <w:tcW w:w="29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1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89" w:lineRule="exact"/>
        <w:rPr>
          <w:sz w:val="20"/>
          <w:szCs w:val="20"/>
          <w:color w:val="auto"/>
        </w:rPr>
      </w:pPr>
    </w:p>
    <w:p>
      <w:pPr>
        <w:ind w:firstLine="713"/>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GLOBUS MEDICAL, INC.</w:t>
      </w:r>
    </w:p>
    <w:p>
      <w:pPr>
        <w:spacing w:after="0" w:line="6"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w:t>
      </w:r>
    </w:p>
    <w:p>
      <w:pPr>
        <w:spacing w:after="0" w:line="147" w:lineRule="exact"/>
        <w:rPr>
          <w:sz w:val="20"/>
          <w:szCs w:val="20"/>
          <w:color w:val="auto"/>
        </w:rPr>
      </w:pPr>
    </w:p>
    <w:p>
      <w:pPr>
        <w:ind w:left="20"/>
        <w:spacing w:after="0"/>
        <w:tabs>
          <w:tab w:leader="none" w:pos="1140" w:val="left"/>
          <w:tab w:leader="none" w:pos="48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June 5, 2025</w:t>
      </w:r>
      <w:r>
        <w:rPr>
          <w:sz w:val="20"/>
          <w:szCs w:val="20"/>
          <w:color w:val="auto"/>
        </w:rPr>
        <w:tab/>
      </w:r>
      <w:r>
        <w:rPr>
          <w:rFonts w:ascii="Times New Roman" w:cs="Times New Roman" w:eastAsia="Times New Roman" w:hAnsi="Times New Roman"/>
          <w:sz w:val="17"/>
          <w:szCs w:val="17"/>
          <w:b w:val="1"/>
          <w:bCs w:val="1"/>
          <w:color w:val="auto"/>
        </w:rPr>
        <w:t>/s/ KEITH PFEIL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3099435</wp:posOffset>
            </wp:positionH>
            <wp:positionV relativeFrom="paragraph">
              <wp:posOffset>11430</wp:posOffset>
            </wp:positionV>
            <wp:extent cx="40373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4037330" cy="8255"/>
                    </a:xfrm>
                    <a:prstGeom prst="rect">
                      <a:avLst/>
                    </a:prstGeom>
                    <a:noFill/>
                  </pic:spPr>
                </pic:pic>
              </a:graphicData>
            </a:graphic>
          </wp:anchor>
        </w:drawing>
      </w:r>
    </w:p>
    <w:p>
      <w:pPr>
        <w:spacing w:after="0" w:line="16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Keith Pfeil</w:t>
      </w:r>
    </w:p>
    <w:p>
      <w:pPr>
        <w:ind w:left="4900"/>
        <w:spacing w:after="0" w:line="221" w:lineRule="auto"/>
        <w:rPr>
          <w:sz w:val="20"/>
          <w:szCs w:val="20"/>
          <w:color w:val="auto"/>
        </w:rPr>
      </w:pPr>
      <w:r>
        <w:rPr>
          <w:rFonts w:ascii="Times New Roman" w:cs="Times New Roman" w:eastAsia="Times New Roman" w:hAnsi="Times New Roman"/>
          <w:sz w:val="18"/>
          <w:szCs w:val="18"/>
          <w:color w:val="auto"/>
        </w:rPr>
        <w:t>Chief Financial Officer and Chief Operating Officer</w:t>
      </w:r>
    </w:p>
    <w:p>
      <w:pPr>
        <w:ind w:left="4900"/>
        <w:spacing w:after="0" w:line="219" w:lineRule="auto"/>
        <w:rPr>
          <w:sz w:val="20"/>
          <w:szCs w:val="20"/>
          <w:color w:val="auto"/>
        </w:rPr>
      </w:pPr>
      <w:r>
        <w:rPr>
          <w:rFonts w:ascii="Times New Roman" w:cs="Times New Roman" w:eastAsia="Times New Roman" w:hAnsi="Times New Roman"/>
          <w:sz w:val="18"/>
          <w:szCs w:val="18"/>
          <w:color w:val="auto"/>
        </w:rPr>
        <w:t>Chief Accounting Officer</w:t>
      </w:r>
    </w:p>
    <w:p>
      <w:pPr>
        <w:ind w:left="4900"/>
        <w:spacing w:after="0" w:line="219" w:lineRule="auto"/>
        <w:rPr>
          <w:sz w:val="20"/>
          <w:szCs w:val="20"/>
          <w:color w:val="auto"/>
        </w:rPr>
      </w:pPr>
      <w:r>
        <w:rPr>
          <w:rFonts w:ascii="Times New Roman" w:cs="Times New Roman" w:eastAsia="Times New Roman" w:hAnsi="Times New Roman"/>
          <w:sz w:val="18"/>
          <w:szCs w:val="18"/>
          <w:color w:val="auto"/>
        </w:rPr>
        <w:t>Executive Vice President</w:t>
      </w:r>
    </w:p>
    <w:p>
      <w:pPr>
        <w:spacing w:after="0" w:line="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20"/>
          </w:cols>
          <w:pgMar w:left="320" w:top="293" w:right="35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2021 EQUITY INCENTIVE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259715</wp:posOffset>
            </wp:positionV>
            <wp:extent cx="5871845"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019"/>
          </w:cols>
          <w:pgMar w:left="1440" w:top="100" w:right="1440"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20" w:type="dxa"/>
            <w:vAlign w:val="bottom"/>
            <w:gridSpan w:val="23"/>
          </w:tcPr>
          <w:p>
            <w:pPr>
              <w:jc w:val="center"/>
              <w:ind w:right="6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100" w:type="dxa"/>
            <w:vAlign w:val="bottom"/>
          </w:tcPr>
          <w:p>
            <w:pPr>
              <w:spacing w:after="0"/>
              <w:rPr>
                <w:sz w:val="22"/>
                <w:szCs w:val="22"/>
                <w:color w:val="auto"/>
              </w:rPr>
            </w:pPr>
          </w:p>
        </w:tc>
        <w:tc>
          <w:tcPr>
            <w:tcW w:w="3380" w:type="dxa"/>
            <w:vAlign w:val="bottom"/>
          </w:tcPr>
          <w:p>
            <w:pPr>
              <w:spacing w:after="0"/>
              <w:rPr>
                <w:sz w:val="22"/>
                <w:szCs w:val="22"/>
                <w:color w:val="auto"/>
              </w:rPr>
            </w:pPr>
          </w:p>
        </w:tc>
      </w:tr>
      <w:tr>
        <w:trPr>
          <w:trHeight w:val="628"/>
        </w:trPr>
        <w:tc>
          <w:tcPr>
            <w:tcW w:w="640" w:type="dxa"/>
            <w:vAlign w:val="bottom"/>
          </w:tcPr>
          <w:p>
            <w:pPr>
              <w:spacing w:after="0"/>
              <w:rPr>
                <w:sz w:val="24"/>
                <w:szCs w:val="24"/>
                <w:color w:val="auto"/>
              </w:rPr>
            </w:pPr>
          </w:p>
        </w:tc>
        <w:tc>
          <w:tcPr>
            <w:tcW w:w="780" w:type="dxa"/>
            <w:vAlign w:val="bottom"/>
            <w:tcBorders>
              <w:bottom w:val="single" w:sz="8" w:color="0000EE"/>
            </w:tcBorders>
            <w:gridSpan w:val="2"/>
          </w:tcPr>
          <w:p>
            <w:pPr>
              <w:spacing w:after="0"/>
              <w:rPr>
                <w:sz w:val="20"/>
                <w:szCs w:val="20"/>
                <w:color w:val="auto"/>
              </w:rPr>
            </w:pPr>
            <w:r>
              <w:rPr>
                <w:rFonts w:ascii="Calibri" w:cs="Calibri" w:eastAsia="Calibri" w:hAnsi="Calibri"/>
                <w:sz w:val="20"/>
                <w:szCs w:val="20"/>
                <w:color w:val="0000EE"/>
                <w:w w:val="99"/>
              </w:rPr>
              <w:t>PURPOSE</w:t>
            </w:r>
          </w:p>
        </w:tc>
        <w:tc>
          <w:tcPr>
            <w:tcW w:w="640" w:type="dxa"/>
            <w:vAlign w:val="bottom"/>
            <w:gridSpan w:val="5"/>
          </w:tcPr>
          <w:p>
            <w:pPr>
              <w:spacing w:after="0"/>
              <w:rPr>
                <w:sz w:val="24"/>
                <w:szCs w:val="24"/>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Calibri" w:cs="Calibri" w:eastAsia="Calibri" w:hAnsi="Calibri"/>
                <w:sz w:val="20"/>
                <w:szCs w:val="20"/>
                <w:color w:val="0000EE"/>
                <w:w w:val="78"/>
              </w:rPr>
              <w:t>5</w:t>
            </w:r>
          </w:p>
        </w:tc>
        <w:tc>
          <w:tcPr>
            <w:tcW w:w="7040" w:type="dxa"/>
            <w:vAlign w:val="bottom"/>
            <w:gridSpan w:val="53"/>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3240" w:type="dxa"/>
            <w:vAlign w:val="bottom"/>
            <w:gridSpan w:val="45"/>
          </w:tcPr>
          <w:p>
            <w:pPr>
              <w:spacing w:after="0"/>
              <w:rPr>
                <w:sz w:val="20"/>
                <w:szCs w:val="20"/>
                <w:color w:val="auto"/>
              </w:rPr>
            </w:pPr>
            <w:r>
              <w:rPr>
                <w:rFonts w:ascii="Calibri" w:cs="Calibri" w:eastAsia="Calibri" w:hAnsi="Calibri"/>
                <w:sz w:val="20"/>
                <w:szCs w:val="20"/>
                <w:color w:val="0000EE"/>
              </w:rPr>
              <w:t>DEFINITIONS AND CONSTRUCTION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alibri" w:cs="Calibri" w:eastAsia="Calibri" w:hAnsi="Calibri"/>
                <w:sz w:val="20"/>
                <w:szCs w:val="20"/>
                <w:color w:val="0000EE"/>
                <w:w w:val="78"/>
              </w:rPr>
              <w:t>5</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180" w:type="dxa"/>
            <w:vAlign w:val="bottom"/>
            <w:tcBorders>
              <w:top w:val="single" w:sz="8" w:color="0000EE"/>
              <w:bottom w:val="single" w:sz="8" w:color="0000EE"/>
            </w:tcBorders>
            <w:gridSpan w:val="15"/>
          </w:tcPr>
          <w:p>
            <w:pPr>
              <w:ind w:left="20"/>
              <w:spacing w:after="0"/>
              <w:rPr>
                <w:sz w:val="20"/>
                <w:szCs w:val="20"/>
                <w:color w:val="auto"/>
              </w:rPr>
            </w:pPr>
            <w:r>
              <w:rPr>
                <w:rFonts w:ascii="Calibri" w:cs="Calibri" w:eastAsia="Calibri" w:hAnsi="Calibri"/>
                <w:sz w:val="20"/>
                <w:szCs w:val="20"/>
                <w:color w:val="0000EE"/>
                <w:w w:val="92"/>
              </w:rPr>
              <w:t>“Administrator</w:t>
            </w:r>
          </w:p>
        </w:tc>
        <w:tc>
          <w:tcPr>
            <w:tcW w:w="60" w:type="dxa"/>
            <w:vAlign w:val="bottom"/>
            <w:tcBorders>
              <w:top w:val="single" w:sz="8" w:color="0000EE"/>
            </w:tcBorders>
          </w:tcPr>
          <w:p>
            <w:pPr>
              <w:spacing w:after="0"/>
              <w:rPr>
                <w:sz w:val="24"/>
                <w:szCs w:val="24"/>
                <w:color w:val="auto"/>
              </w:rPr>
            </w:pPr>
          </w:p>
        </w:tc>
        <w:tc>
          <w:tcPr>
            <w:tcW w:w="620" w:type="dxa"/>
            <w:vAlign w:val="bottom"/>
            <w:tcBorders>
              <w:top w:val="single" w:sz="8" w:color="0000EE"/>
            </w:tcBorders>
            <w:gridSpan w:val="12"/>
          </w:tcPr>
          <w:p>
            <w:pPr>
              <w:spacing w:after="0"/>
              <w:rPr>
                <w:sz w:val="24"/>
                <w:szCs w:val="24"/>
                <w:color w:val="auto"/>
              </w:rPr>
            </w:pPr>
          </w:p>
        </w:tc>
        <w:tc>
          <w:tcPr>
            <w:tcW w:w="120" w:type="dxa"/>
            <w:vAlign w:val="bottom"/>
            <w:tcBorders>
              <w:top w:val="single" w:sz="8" w:color="0000EE"/>
              <w:bottom w:val="single" w:sz="8" w:color="0000EE"/>
            </w:tcBorders>
            <w:gridSpan w:val="2"/>
          </w:tcPr>
          <w:p>
            <w:pPr>
              <w:jc w:val="right"/>
              <w:spacing w:after="0"/>
              <w:rPr>
                <w:sz w:val="20"/>
                <w:szCs w:val="20"/>
                <w:color w:val="auto"/>
              </w:rPr>
            </w:pPr>
            <w:r>
              <w:rPr>
                <w:rFonts w:ascii="Calibri" w:cs="Calibri" w:eastAsia="Calibri" w:hAnsi="Calibri"/>
                <w:sz w:val="20"/>
                <w:szCs w:val="20"/>
                <w:color w:val="0000EE"/>
                <w:w w:val="78"/>
              </w:rPr>
              <w:t>5</w:t>
            </w: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60" w:type="dxa"/>
            <w:vAlign w:val="bottom"/>
            <w:gridSpan w:val="50"/>
          </w:tcPr>
          <w:p>
            <w:pPr>
              <w:ind w:left="20"/>
              <w:spacing w:after="0"/>
              <w:rPr>
                <w:sz w:val="20"/>
                <w:szCs w:val="20"/>
                <w:color w:val="auto"/>
              </w:rPr>
            </w:pPr>
            <w:r>
              <w:rPr>
                <w:rFonts w:ascii="Calibri" w:cs="Calibri" w:eastAsia="Calibri" w:hAnsi="Calibri"/>
                <w:sz w:val="20"/>
                <w:szCs w:val="20"/>
                <w:color w:val="0000EE"/>
              </w:rPr>
              <w:t>“Applicable Accountng Standards</w:t>
            </w:r>
          </w:p>
        </w:tc>
        <w:tc>
          <w:tcPr>
            <w:tcW w:w="660" w:type="dxa"/>
            <w:vAlign w:val="bottom"/>
            <w:gridSpan w:val="7"/>
          </w:tcPr>
          <w:p>
            <w:pPr>
              <w:jc w:val="right"/>
              <w:spacing w:after="0"/>
              <w:rPr>
                <w:sz w:val="20"/>
                <w:szCs w:val="20"/>
                <w:color w:val="auto"/>
              </w:rPr>
            </w:pPr>
            <w:r>
              <w:rPr>
                <w:rFonts w:ascii="Calibri" w:cs="Calibri" w:eastAsia="Calibri" w:hAnsi="Calibri"/>
                <w:sz w:val="20"/>
                <w:szCs w:val="20"/>
                <w:color w:val="0000EE"/>
              </w:rPr>
              <w:t>5</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Borders>
              <w:top w:val="single" w:sz="8" w:color="0000EE"/>
            </w:tcBorders>
            <w:gridSpan w:val="17"/>
          </w:tcPr>
          <w:p>
            <w:pPr>
              <w:ind w:left="20"/>
              <w:spacing w:after="0"/>
              <w:rPr>
                <w:sz w:val="20"/>
                <w:szCs w:val="20"/>
                <w:color w:val="auto"/>
              </w:rPr>
            </w:pPr>
            <w:r>
              <w:rPr>
                <w:rFonts w:ascii="Calibri" w:cs="Calibri" w:eastAsia="Calibri" w:hAnsi="Calibri"/>
                <w:sz w:val="20"/>
                <w:szCs w:val="20"/>
                <w:color w:val="0000EE"/>
                <w:w w:val="98"/>
              </w:rPr>
              <w:t>“Applicable Law</w:t>
            </w:r>
          </w:p>
        </w:tc>
        <w:tc>
          <w:tcPr>
            <w:tcW w:w="600" w:type="dxa"/>
            <w:vAlign w:val="bottom"/>
            <w:tcBorders>
              <w:top w:val="single" w:sz="8" w:color="0000EE"/>
            </w:tcBorders>
            <w:gridSpan w:val="12"/>
          </w:tcPr>
          <w:p>
            <w:pPr>
              <w:spacing w:after="0"/>
              <w:rPr>
                <w:sz w:val="24"/>
                <w:szCs w:val="24"/>
                <w:color w:val="auto"/>
              </w:rPr>
            </w:pPr>
          </w:p>
        </w:tc>
        <w:tc>
          <w:tcPr>
            <w:tcW w:w="120" w:type="dxa"/>
            <w:vAlign w:val="bottom"/>
            <w:tcBorders>
              <w:top w:val="single" w:sz="8" w:color="0000EE"/>
            </w:tcBorders>
            <w:gridSpan w:val="2"/>
          </w:tcPr>
          <w:p>
            <w:pPr>
              <w:jc w:val="right"/>
              <w:spacing w:after="0"/>
              <w:rPr>
                <w:sz w:val="20"/>
                <w:szCs w:val="20"/>
                <w:color w:val="auto"/>
              </w:rPr>
            </w:pPr>
            <w:r>
              <w:rPr>
                <w:rFonts w:ascii="Calibri" w:cs="Calibri" w:eastAsia="Calibri" w:hAnsi="Calibri"/>
                <w:sz w:val="20"/>
                <w:szCs w:val="20"/>
                <w:color w:val="0000EE"/>
                <w:w w:val="98"/>
              </w:rPr>
              <w:t>5</w:t>
            </w: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1860" w:type="dxa"/>
            <w:vAlign w:val="bottom"/>
            <w:tcBorders>
              <w:right w:val="single" w:sz="8" w:color="0000EE"/>
            </w:tcBorders>
            <w:gridSpan w:val="5"/>
          </w:tcPr>
          <w:p>
            <w:pPr>
              <w:spacing w:after="0" w:line="20" w:lineRule="exact"/>
              <w:rPr>
                <w:sz w:val="1"/>
                <w:szCs w:val="1"/>
                <w:color w:val="auto"/>
              </w:rPr>
            </w:pPr>
          </w:p>
        </w:tc>
        <w:tc>
          <w:tcPr>
            <w:tcW w:w="280" w:type="dxa"/>
            <w:vAlign w:val="bottom"/>
            <w:tcBorders>
              <w:left w:val="single" w:sz="8" w:color="0000EE"/>
              <w:right w:val="single" w:sz="8" w:color="0000EE"/>
            </w:tcBorders>
            <w:gridSpan w:val="4"/>
            <w:shd w:val="clear" w:color="auto" w:fill="0000EE"/>
          </w:tcPr>
          <w:p>
            <w:pPr>
              <w:spacing w:after="0" w:line="20" w:lineRule="exact"/>
              <w:rPr>
                <w:sz w:val="1"/>
                <w:szCs w:val="1"/>
                <w:color w:val="auto"/>
              </w:rPr>
            </w:pPr>
          </w:p>
        </w:tc>
        <w:tc>
          <w:tcPr>
            <w:tcW w:w="140" w:type="dxa"/>
            <w:vAlign w:val="bottom"/>
            <w:tcBorders>
              <w:right w:val="single" w:sz="8" w:color="0000EE"/>
            </w:tcBorders>
            <w:gridSpan w:val="3"/>
            <w:shd w:val="clear" w:color="auto" w:fill="0000EE"/>
          </w:tcPr>
          <w:p>
            <w:pPr>
              <w:spacing w:after="0" w:line="20" w:lineRule="exact"/>
              <w:rPr>
                <w:sz w:val="1"/>
                <w:szCs w:val="1"/>
                <w:color w:val="auto"/>
              </w:rPr>
            </w:pPr>
          </w:p>
        </w:tc>
        <w:tc>
          <w:tcPr>
            <w:tcW w:w="180" w:type="dxa"/>
            <w:vAlign w:val="bottom"/>
            <w:gridSpan w:val="5"/>
            <w:shd w:val="clear" w:color="auto" w:fill="0000EE"/>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640" w:type="dxa"/>
            <w:vAlign w:val="bottom"/>
            <w:tcBorders>
              <w:right w:val="single" w:sz="8" w:color="0000EE"/>
            </w:tcBorders>
            <w:gridSpan w:val="13"/>
          </w:tcPr>
          <w:p>
            <w:pPr>
              <w:spacing w:after="0" w:line="20" w:lineRule="exact"/>
              <w:rPr>
                <w:sz w:val="1"/>
                <w:szCs w:val="1"/>
                <w:color w:val="auto"/>
              </w:rPr>
            </w:pPr>
          </w:p>
        </w:tc>
        <w:tc>
          <w:tcPr>
            <w:tcW w:w="5940" w:type="dxa"/>
            <w:vAlign w:val="bottom"/>
            <w:tcBorders>
              <w:left w:val="single" w:sz="8" w:color="0000EE"/>
            </w:tcBorders>
            <w:gridSpan w:val="31"/>
            <w:shd w:val="clear" w:color="auto" w:fill="0000EE"/>
          </w:tcPr>
          <w:p>
            <w:pPr>
              <w:spacing w:after="0" w:line="20" w:lineRule="exact"/>
              <w:rPr>
                <w:sz w:val="1"/>
                <w:szCs w:val="1"/>
                <w:color w:val="auto"/>
              </w:rPr>
            </w:pPr>
          </w:p>
        </w:tc>
      </w:tr>
      <w:tr>
        <w:trPr>
          <w:trHeight w:val="331"/>
        </w:trPr>
        <w:tc>
          <w:tcPr>
            <w:tcW w:w="2520" w:type="dxa"/>
            <w:vAlign w:val="bottom"/>
            <w:gridSpan w:val="18"/>
          </w:tcPr>
          <w:p>
            <w:pPr>
              <w:spacing w:after="0"/>
              <w:rPr>
                <w:sz w:val="20"/>
                <w:szCs w:val="20"/>
                <w:color w:val="auto"/>
              </w:rPr>
            </w:pPr>
            <w:r>
              <w:rPr>
                <w:rFonts w:ascii="Calibri" w:cs="Calibri" w:eastAsia="Calibri" w:hAnsi="Calibri"/>
                <w:sz w:val="20"/>
                <w:szCs w:val="20"/>
                <w:color w:val="0000EE"/>
              </w:rPr>
              <w:t>“Award</w:t>
            </w:r>
          </w:p>
        </w:tc>
        <w:tc>
          <w:tcPr>
            <w:tcW w:w="6680" w:type="dxa"/>
            <w:vAlign w:val="bottom"/>
            <w:gridSpan w:val="45"/>
          </w:tcPr>
          <w:p>
            <w:pPr>
              <w:jc w:val="right"/>
              <w:ind w:right="6560"/>
              <w:spacing w:after="0"/>
              <w:rPr>
                <w:sz w:val="20"/>
                <w:szCs w:val="20"/>
                <w:color w:val="auto"/>
              </w:rPr>
            </w:pPr>
            <w:r>
              <w:rPr>
                <w:rFonts w:ascii="Calibri" w:cs="Calibri" w:eastAsia="Calibri" w:hAnsi="Calibri"/>
                <w:sz w:val="20"/>
                <w:szCs w:val="20"/>
                <w:color w:val="0000EE"/>
                <w:w w:val="98"/>
              </w:rPr>
              <w:t>5</w:t>
            </w:r>
          </w:p>
        </w:tc>
      </w:tr>
      <w:tr>
        <w:trPr>
          <w:trHeight w:val="20"/>
        </w:trPr>
        <w:tc>
          <w:tcPr>
            <w:tcW w:w="1860" w:type="dxa"/>
            <w:vAlign w:val="bottom"/>
            <w:tcBorders>
              <w:right w:val="single" w:sz="8" w:color="0000EE"/>
            </w:tcBorders>
            <w:gridSpan w:val="5"/>
          </w:tcPr>
          <w:p>
            <w:pPr>
              <w:spacing w:after="0" w:line="20" w:lineRule="exact"/>
              <w:rPr>
                <w:sz w:val="1"/>
                <w:szCs w:val="1"/>
                <w:color w:val="auto"/>
              </w:rPr>
            </w:pPr>
          </w:p>
        </w:tc>
        <w:tc>
          <w:tcPr>
            <w:tcW w:w="760" w:type="dxa"/>
            <w:vAlign w:val="bottom"/>
            <w:tcBorders>
              <w:left w:val="single" w:sz="8" w:color="0000EE"/>
              <w:right w:val="single" w:sz="8" w:color="0000EE"/>
            </w:tcBorders>
            <w:gridSpan w:val="14"/>
          </w:tcPr>
          <w:p>
            <w:pPr>
              <w:spacing w:after="0" w:line="20" w:lineRule="exact"/>
              <w:rPr>
                <w:sz w:val="1"/>
                <w:szCs w:val="1"/>
                <w:color w:val="auto"/>
              </w:rPr>
            </w:pPr>
          </w:p>
        </w:tc>
        <w:tc>
          <w:tcPr>
            <w:tcW w:w="6580" w:type="dxa"/>
            <w:vAlign w:val="bottom"/>
            <w:tcBorders>
              <w:left w:val="single" w:sz="8" w:color="0000EE"/>
            </w:tcBorders>
            <w:gridSpan w:val="44"/>
          </w:tcPr>
          <w:p>
            <w:pPr>
              <w:spacing w:after="0" w:line="20" w:lineRule="exact"/>
              <w:rPr>
                <w:sz w:val="1"/>
                <w:szCs w:val="1"/>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gridSpan w:val="29"/>
          </w:tcPr>
          <w:p>
            <w:pPr>
              <w:ind w:left="20"/>
              <w:spacing w:after="0"/>
              <w:rPr>
                <w:sz w:val="20"/>
                <w:szCs w:val="20"/>
                <w:color w:val="auto"/>
              </w:rPr>
            </w:pPr>
            <w:r>
              <w:rPr>
                <w:rFonts w:ascii="Calibri" w:cs="Calibri" w:eastAsia="Calibri" w:hAnsi="Calibri"/>
                <w:sz w:val="20"/>
                <w:szCs w:val="20"/>
                <w:color w:val="0000EE"/>
              </w:rPr>
              <w:t>“Award Agreement</w:t>
            </w:r>
          </w:p>
        </w:tc>
        <w:tc>
          <w:tcPr>
            <w:tcW w:w="380" w:type="dxa"/>
            <w:vAlign w:val="bottom"/>
            <w:gridSpan w:val="10"/>
          </w:tcPr>
          <w:p>
            <w:pPr>
              <w:jc w:val="right"/>
              <w:spacing w:after="0"/>
              <w:rPr>
                <w:sz w:val="20"/>
                <w:szCs w:val="20"/>
                <w:color w:val="auto"/>
              </w:rPr>
            </w:pPr>
            <w:r>
              <w:rPr>
                <w:rFonts w:ascii="Calibri" w:cs="Calibri" w:eastAsia="Calibri" w:hAnsi="Calibri"/>
                <w:sz w:val="20"/>
                <w:szCs w:val="20"/>
                <w:color w:val="0000EE"/>
              </w:rPr>
              <w:t>5</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1280" w:type="dxa"/>
            <w:vAlign w:val="bottom"/>
            <w:gridSpan w:val="2"/>
          </w:tcPr>
          <w:p>
            <w:pPr>
              <w:spacing w:after="0"/>
              <w:rPr>
                <w:sz w:val="24"/>
                <w:szCs w:val="24"/>
                <w:color w:val="auto"/>
              </w:rPr>
            </w:pPr>
          </w:p>
        </w:tc>
        <w:tc>
          <w:tcPr>
            <w:tcW w:w="1240" w:type="dxa"/>
            <w:vAlign w:val="bottom"/>
            <w:tcBorders>
              <w:top w:val="single" w:sz="8" w:color="0000EE"/>
            </w:tcBorders>
            <w:gridSpan w:val="16"/>
          </w:tcPr>
          <w:p>
            <w:pPr>
              <w:ind w:left="20"/>
              <w:spacing w:after="0"/>
              <w:rPr>
                <w:sz w:val="20"/>
                <w:szCs w:val="20"/>
                <w:color w:val="auto"/>
              </w:rPr>
            </w:pPr>
            <w:r>
              <w:rPr>
                <w:rFonts w:ascii="Calibri" w:cs="Calibri" w:eastAsia="Calibri" w:hAnsi="Calibri"/>
                <w:sz w:val="20"/>
                <w:szCs w:val="20"/>
                <w:color w:val="0000EE"/>
              </w:rPr>
              <w:t>“Board</w:t>
            </w:r>
          </w:p>
        </w:tc>
        <w:tc>
          <w:tcPr>
            <w:tcW w:w="340" w:type="dxa"/>
            <w:vAlign w:val="bottom"/>
            <w:tcBorders>
              <w:top w:val="single" w:sz="8" w:color="0000EE"/>
            </w:tcBorders>
            <w:gridSpan w:val="6"/>
          </w:tcPr>
          <w:p>
            <w:pPr>
              <w:jc w:val="right"/>
              <w:ind w:right="240"/>
              <w:spacing w:after="0"/>
              <w:rPr>
                <w:sz w:val="20"/>
                <w:szCs w:val="20"/>
                <w:color w:val="auto"/>
              </w:rPr>
            </w:pPr>
            <w:r>
              <w:rPr>
                <w:rFonts w:ascii="Calibri" w:cs="Calibri" w:eastAsia="Calibri" w:hAnsi="Calibri"/>
                <w:sz w:val="20"/>
                <w:szCs w:val="20"/>
                <w:color w:val="0000EE"/>
                <w:w w:val="78"/>
              </w:rPr>
              <w:t>6</w:t>
            </w:r>
          </w:p>
        </w:tc>
        <w:tc>
          <w:tcPr>
            <w:tcW w:w="640" w:type="dxa"/>
            <w:vAlign w:val="bottom"/>
            <w:gridSpan w:val="14"/>
          </w:tcPr>
          <w:p>
            <w:pPr>
              <w:spacing w:after="0"/>
              <w:rPr>
                <w:sz w:val="24"/>
                <w:szCs w:val="24"/>
                <w:color w:val="auto"/>
              </w:rPr>
            </w:pPr>
          </w:p>
        </w:tc>
        <w:tc>
          <w:tcPr>
            <w:tcW w:w="100" w:type="dxa"/>
            <w:vAlign w:val="bottom"/>
            <w:tcBorders>
              <w:top w:val="single" w:sz="8" w:color="0000EE"/>
            </w:tcBorders>
            <w:gridSpan w:val="3"/>
          </w:tcPr>
          <w:p>
            <w:pPr>
              <w:spacing w:after="0"/>
              <w:rPr>
                <w:sz w:val="24"/>
                <w:szCs w:val="24"/>
                <w:color w:val="auto"/>
              </w:rPr>
            </w:pPr>
          </w:p>
        </w:tc>
        <w:tc>
          <w:tcPr>
            <w:tcW w:w="5600" w:type="dxa"/>
            <w:vAlign w:val="bottom"/>
            <w:gridSpan w:val="22"/>
          </w:tcPr>
          <w:p>
            <w:pPr>
              <w:spacing w:after="0"/>
              <w:rPr>
                <w:sz w:val="24"/>
                <w:szCs w:val="24"/>
                <w:color w:val="auto"/>
              </w:rPr>
            </w:pPr>
          </w:p>
        </w:tc>
      </w:tr>
      <w:tr>
        <w:trPr>
          <w:trHeight w:val="20"/>
        </w:trPr>
        <w:tc>
          <w:tcPr>
            <w:tcW w:w="1860" w:type="dxa"/>
            <w:vAlign w:val="bottom"/>
            <w:tcBorders>
              <w:right w:val="single" w:sz="8" w:color="0000EE"/>
            </w:tcBorders>
            <w:gridSpan w:val="5"/>
          </w:tcPr>
          <w:p>
            <w:pPr>
              <w:spacing w:after="0" w:line="20" w:lineRule="exact"/>
              <w:rPr>
                <w:sz w:val="1"/>
                <w:szCs w:val="1"/>
                <w:color w:val="auto"/>
              </w:rPr>
            </w:pPr>
          </w:p>
        </w:tc>
        <w:tc>
          <w:tcPr>
            <w:tcW w:w="760" w:type="dxa"/>
            <w:vAlign w:val="bottom"/>
            <w:tcBorders>
              <w:right w:val="single" w:sz="8" w:color="0000EE"/>
            </w:tcBorders>
            <w:gridSpan w:val="14"/>
          </w:tcPr>
          <w:p>
            <w:pPr>
              <w:spacing w:after="0" w:line="20" w:lineRule="exact"/>
              <w:rPr>
                <w:sz w:val="1"/>
                <w:szCs w:val="1"/>
                <w:color w:val="auto"/>
              </w:rPr>
            </w:pPr>
          </w:p>
        </w:tc>
        <w:tc>
          <w:tcPr>
            <w:tcW w:w="6580" w:type="dxa"/>
            <w:vAlign w:val="bottom"/>
            <w:gridSpan w:val="44"/>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gridSpan w:val="29"/>
          </w:tcPr>
          <w:p>
            <w:pPr>
              <w:ind w:left="20"/>
              <w:spacing w:after="0"/>
              <w:rPr>
                <w:sz w:val="20"/>
                <w:szCs w:val="20"/>
                <w:color w:val="auto"/>
              </w:rPr>
            </w:pPr>
            <w:r>
              <w:rPr>
                <w:rFonts w:ascii="Calibri" w:cs="Calibri" w:eastAsia="Calibri" w:hAnsi="Calibri"/>
                <w:sz w:val="20"/>
                <w:szCs w:val="20"/>
                <w:color w:val="0000EE"/>
              </w:rPr>
              <w:t>“Change in Control</w:t>
            </w:r>
          </w:p>
        </w:tc>
        <w:tc>
          <w:tcPr>
            <w:tcW w:w="360" w:type="dxa"/>
            <w:vAlign w:val="bottom"/>
            <w:gridSpan w:val="9"/>
          </w:tcPr>
          <w:p>
            <w:pPr>
              <w:jc w:val="right"/>
              <w:spacing w:after="0"/>
              <w:rPr>
                <w:sz w:val="20"/>
                <w:szCs w:val="20"/>
                <w:color w:val="auto"/>
              </w:rPr>
            </w:pPr>
            <w:r>
              <w:rPr>
                <w:rFonts w:ascii="Calibri" w:cs="Calibri" w:eastAsia="Calibri" w:hAnsi="Calibri"/>
                <w:sz w:val="20"/>
                <w:szCs w:val="20"/>
                <w:color w:val="0000EE"/>
              </w:rPr>
              <w:t>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Borders>
              <w:top w:val="single" w:sz="8" w:color="0000EE"/>
              <w:bottom w:val="single" w:sz="8" w:color="0000EE"/>
            </w:tcBorders>
            <w:gridSpan w:val="3"/>
          </w:tcPr>
          <w:p>
            <w:pPr>
              <w:ind w:left="20"/>
              <w:spacing w:after="0"/>
              <w:rPr>
                <w:sz w:val="20"/>
                <w:szCs w:val="20"/>
                <w:color w:val="auto"/>
              </w:rPr>
            </w:pPr>
            <w:r>
              <w:rPr>
                <w:rFonts w:ascii="Calibri" w:cs="Calibri" w:eastAsia="Calibri" w:hAnsi="Calibri"/>
                <w:sz w:val="20"/>
                <w:szCs w:val="20"/>
                <w:color w:val="0000EE"/>
              </w:rPr>
              <w:t>“Code</w:t>
            </w:r>
          </w:p>
        </w:tc>
        <w:tc>
          <w:tcPr>
            <w:tcW w:w="200" w:type="dxa"/>
            <w:vAlign w:val="bottom"/>
            <w:tcBorders>
              <w:top w:val="single" w:sz="8" w:color="0000EE"/>
            </w:tcBorders>
            <w:gridSpan w:val="3"/>
          </w:tcPr>
          <w:p>
            <w:pPr>
              <w:spacing w:after="0"/>
              <w:rPr>
                <w:sz w:val="24"/>
                <w:szCs w:val="24"/>
                <w:color w:val="auto"/>
              </w:rPr>
            </w:pPr>
          </w:p>
        </w:tc>
        <w:tc>
          <w:tcPr>
            <w:tcW w:w="380" w:type="dxa"/>
            <w:vAlign w:val="bottom"/>
            <w:tcBorders>
              <w:top w:val="single" w:sz="8" w:color="0000EE"/>
            </w:tcBorders>
            <w:gridSpan w:val="8"/>
          </w:tcPr>
          <w:p>
            <w:pPr>
              <w:spacing w:after="0"/>
              <w:rPr>
                <w:sz w:val="24"/>
                <w:szCs w:val="24"/>
                <w:color w:val="auto"/>
              </w:rPr>
            </w:pPr>
          </w:p>
        </w:tc>
        <w:tc>
          <w:tcPr>
            <w:tcW w:w="180" w:type="dxa"/>
            <w:vAlign w:val="bottom"/>
            <w:tcBorders>
              <w:top w:val="single" w:sz="8" w:color="0000EE"/>
              <w:bottom w:val="single" w:sz="8" w:color="0000EE"/>
            </w:tcBorders>
            <w:gridSpan w:val="3"/>
          </w:tcPr>
          <w:p>
            <w:pPr>
              <w:jc w:val="right"/>
              <w:spacing w:after="0"/>
              <w:rPr>
                <w:sz w:val="20"/>
                <w:szCs w:val="20"/>
                <w:color w:val="auto"/>
              </w:rPr>
            </w:pPr>
            <w:r>
              <w:rPr>
                <w:rFonts w:ascii="Calibri" w:cs="Calibri" w:eastAsia="Calibri" w:hAnsi="Calibri"/>
                <w:sz w:val="20"/>
                <w:szCs w:val="20"/>
                <w:color w:val="0000EE"/>
                <w:w w:val="78"/>
              </w:rPr>
              <w:t>6</w:t>
            </w: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16"/>
          </w:tcPr>
          <w:p>
            <w:pPr>
              <w:ind w:left="20"/>
              <w:spacing w:after="0"/>
              <w:rPr>
                <w:sz w:val="20"/>
                <w:szCs w:val="20"/>
                <w:color w:val="auto"/>
              </w:rPr>
            </w:pPr>
            <w:r>
              <w:rPr>
                <w:rFonts w:ascii="Calibri" w:cs="Calibri" w:eastAsia="Calibri" w:hAnsi="Calibri"/>
                <w:sz w:val="20"/>
                <w:szCs w:val="20"/>
                <w:color w:val="0000EE"/>
              </w:rPr>
              <w:t>“Commitee</w:t>
            </w:r>
          </w:p>
        </w:tc>
        <w:tc>
          <w:tcPr>
            <w:tcW w:w="520" w:type="dxa"/>
            <w:vAlign w:val="bottom"/>
            <w:gridSpan w:val="10"/>
          </w:tcPr>
          <w:p>
            <w:pPr>
              <w:jc w:val="right"/>
              <w:spacing w:after="0"/>
              <w:rPr>
                <w:sz w:val="20"/>
                <w:szCs w:val="20"/>
                <w:color w:val="auto"/>
              </w:rPr>
            </w:pPr>
            <w:r>
              <w:rPr>
                <w:rFonts w:ascii="Calibri" w:cs="Calibri" w:eastAsia="Calibri" w:hAnsi="Calibri"/>
                <w:sz w:val="20"/>
                <w:szCs w:val="20"/>
                <w:color w:val="0000EE"/>
              </w:rPr>
              <w:t>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Borders>
              <w:bottom w:val="single" w:sz="8" w:color="0000EE"/>
            </w:tcBorders>
            <w:gridSpan w:val="17"/>
          </w:tcPr>
          <w:p>
            <w:pPr>
              <w:ind w:left="20"/>
              <w:spacing w:after="0"/>
              <w:rPr>
                <w:sz w:val="20"/>
                <w:szCs w:val="20"/>
                <w:color w:val="auto"/>
              </w:rPr>
            </w:pPr>
            <w:r>
              <w:rPr>
                <w:rFonts w:ascii="Calibri" w:cs="Calibri" w:eastAsia="Calibri" w:hAnsi="Calibri"/>
                <w:sz w:val="20"/>
                <w:szCs w:val="20"/>
                <w:color w:val="0000EE"/>
                <w:w w:val="97"/>
              </w:rPr>
              <w:t>“Common Stock</w:t>
            </w:r>
          </w:p>
        </w:tc>
        <w:tc>
          <w:tcPr>
            <w:tcW w:w="60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Calibri" w:cs="Calibri" w:eastAsia="Calibri" w:hAnsi="Calibri"/>
                <w:sz w:val="20"/>
                <w:szCs w:val="20"/>
                <w:color w:val="0000EE"/>
                <w:w w:val="78"/>
              </w:rPr>
              <w:t>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16"/>
          </w:tcPr>
          <w:p>
            <w:pPr>
              <w:ind w:left="20"/>
              <w:spacing w:after="0"/>
              <w:rPr>
                <w:sz w:val="20"/>
                <w:szCs w:val="20"/>
                <w:color w:val="auto"/>
              </w:rPr>
            </w:pPr>
            <w:r>
              <w:rPr>
                <w:rFonts w:ascii="Calibri" w:cs="Calibri" w:eastAsia="Calibri" w:hAnsi="Calibri"/>
                <w:sz w:val="20"/>
                <w:szCs w:val="20"/>
                <w:color w:val="0000EE"/>
              </w:rPr>
              <w:t>“Company</w:t>
            </w:r>
          </w:p>
        </w:tc>
        <w:tc>
          <w:tcPr>
            <w:tcW w:w="380" w:type="dxa"/>
            <w:vAlign w:val="bottom"/>
            <w:gridSpan w:val="7"/>
          </w:tcPr>
          <w:p>
            <w:pPr>
              <w:jc w:val="right"/>
              <w:spacing w:after="0"/>
              <w:rPr>
                <w:sz w:val="20"/>
                <w:szCs w:val="20"/>
                <w:color w:val="auto"/>
              </w:rPr>
            </w:pPr>
            <w:r>
              <w:rPr>
                <w:rFonts w:ascii="Calibri" w:cs="Calibri" w:eastAsia="Calibri" w:hAnsi="Calibri"/>
                <w:sz w:val="20"/>
                <w:szCs w:val="20"/>
                <w:color w:val="0000EE"/>
              </w:rPr>
              <w:t>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2140" w:type="dxa"/>
            <w:vAlign w:val="bottom"/>
            <w:tcBorders>
              <w:right w:val="single" w:sz="8" w:color="0000EE"/>
            </w:tcBorders>
            <w:gridSpan w:val="9"/>
          </w:tcPr>
          <w:p>
            <w:pPr>
              <w:spacing w:after="0" w:line="20" w:lineRule="exact"/>
              <w:rPr>
                <w:sz w:val="1"/>
                <w:szCs w:val="1"/>
                <w:color w:val="auto"/>
              </w:rPr>
            </w:pPr>
          </w:p>
        </w:tc>
        <w:tc>
          <w:tcPr>
            <w:tcW w:w="660" w:type="dxa"/>
            <w:vAlign w:val="bottom"/>
            <w:gridSpan w:val="13"/>
          </w:tcPr>
          <w:p>
            <w:pPr>
              <w:spacing w:after="0" w:line="20" w:lineRule="exact"/>
              <w:rPr>
                <w:sz w:val="1"/>
                <w:szCs w:val="1"/>
                <w:color w:val="auto"/>
              </w:rPr>
            </w:pPr>
          </w:p>
        </w:tc>
        <w:tc>
          <w:tcPr>
            <w:tcW w:w="100" w:type="dxa"/>
            <w:vAlign w:val="bottom"/>
            <w:tcBorders>
              <w:left w:val="single" w:sz="8" w:color="0000EE"/>
              <w:right w:val="single" w:sz="8" w:color="0000EE"/>
            </w:tcBorders>
            <w:gridSpan w:val="3"/>
            <w:shd w:val="clear" w:color="auto" w:fill="0000EE"/>
          </w:tcPr>
          <w:p>
            <w:pPr>
              <w:spacing w:after="0" w:line="20" w:lineRule="exact"/>
              <w:rPr>
                <w:sz w:val="1"/>
                <w:szCs w:val="1"/>
                <w:color w:val="auto"/>
              </w:rPr>
            </w:pPr>
          </w:p>
        </w:tc>
        <w:tc>
          <w:tcPr>
            <w:tcW w:w="6300" w:type="dxa"/>
            <w:vAlign w:val="bottom"/>
            <w:gridSpan w:val="38"/>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16"/>
          </w:tcPr>
          <w:p>
            <w:pPr>
              <w:ind w:left="20"/>
              <w:spacing w:after="0"/>
              <w:rPr>
                <w:sz w:val="20"/>
                <w:szCs w:val="20"/>
                <w:color w:val="auto"/>
              </w:rPr>
            </w:pPr>
            <w:r>
              <w:rPr>
                <w:rFonts w:ascii="Calibri" w:cs="Calibri" w:eastAsia="Calibri" w:hAnsi="Calibri"/>
                <w:sz w:val="20"/>
                <w:szCs w:val="20"/>
                <w:color w:val="0000EE"/>
              </w:rPr>
              <w:t>“Consultant</w:t>
            </w:r>
          </w:p>
        </w:tc>
        <w:tc>
          <w:tcPr>
            <w:tcW w:w="520" w:type="dxa"/>
            <w:vAlign w:val="bottom"/>
            <w:gridSpan w:val="10"/>
          </w:tcPr>
          <w:p>
            <w:pPr>
              <w:jc w:val="right"/>
              <w:spacing w:after="0"/>
              <w:rPr>
                <w:sz w:val="20"/>
                <w:szCs w:val="20"/>
                <w:color w:val="auto"/>
              </w:rPr>
            </w:pPr>
            <w:r>
              <w:rPr>
                <w:rFonts w:ascii="Calibri" w:cs="Calibri" w:eastAsia="Calibri" w:hAnsi="Calibri"/>
                <w:sz w:val="20"/>
                <w:szCs w:val="20"/>
                <w:color w:val="0000EE"/>
              </w:rPr>
              <w:t>7</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80" w:type="dxa"/>
            <w:vAlign w:val="bottom"/>
            <w:tcBorders>
              <w:top w:val="single" w:sz="8" w:color="0000EE"/>
            </w:tcBorders>
            <w:gridSpan w:val="6"/>
          </w:tcPr>
          <w:p>
            <w:pPr>
              <w:ind w:left="20"/>
              <w:spacing w:after="0"/>
              <w:rPr>
                <w:sz w:val="20"/>
                <w:szCs w:val="20"/>
                <w:color w:val="auto"/>
              </w:rPr>
            </w:pPr>
            <w:r>
              <w:rPr>
                <w:rFonts w:ascii="Calibri" w:cs="Calibri" w:eastAsia="Calibri" w:hAnsi="Calibri"/>
                <w:sz w:val="20"/>
                <w:szCs w:val="20"/>
                <w:color w:val="0000EE"/>
                <w:w w:val="98"/>
              </w:rPr>
              <w:t>“Director</w:t>
            </w: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gridSpan w:val="4"/>
          </w:tcPr>
          <w:p>
            <w:pPr>
              <w:jc w:val="right"/>
              <w:spacing w:after="0"/>
              <w:rPr>
                <w:sz w:val="20"/>
                <w:szCs w:val="20"/>
                <w:color w:val="auto"/>
              </w:rPr>
            </w:pPr>
            <w:r>
              <w:rPr>
                <w:rFonts w:ascii="Calibri" w:cs="Calibri" w:eastAsia="Calibri" w:hAnsi="Calibri"/>
                <w:sz w:val="20"/>
                <w:szCs w:val="20"/>
                <w:color w:val="0000EE"/>
              </w:rPr>
              <w:t>7</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2800" w:type="dxa"/>
            <w:vAlign w:val="bottom"/>
            <w:tcBorders>
              <w:right w:val="single" w:sz="8" w:color="0000EE"/>
            </w:tcBorders>
            <w:gridSpan w:val="22"/>
          </w:tcPr>
          <w:p>
            <w:pPr>
              <w:spacing w:after="0" w:line="20" w:lineRule="exact"/>
              <w:rPr>
                <w:sz w:val="1"/>
                <w:szCs w:val="1"/>
                <w:color w:val="auto"/>
              </w:rPr>
            </w:pPr>
          </w:p>
        </w:tc>
        <w:tc>
          <w:tcPr>
            <w:tcW w:w="6400" w:type="dxa"/>
            <w:vAlign w:val="bottom"/>
            <w:gridSpan w:val="41"/>
          </w:tcPr>
          <w:p>
            <w:pPr>
              <w:spacing w:after="0" w:line="20" w:lineRule="exact"/>
              <w:rPr>
                <w:sz w:val="1"/>
                <w:szCs w:val="1"/>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16"/>
          </w:tcPr>
          <w:p>
            <w:pPr>
              <w:ind w:left="20"/>
              <w:spacing w:after="0"/>
              <w:rPr>
                <w:sz w:val="20"/>
                <w:szCs w:val="20"/>
                <w:color w:val="auto"/>
              </w:rPr>
            </w:pPr>
            <w:r>
              <w:rPr>
                <w:rFonts w:ascii="Calibri" w:cs="Calibri" w:eastAsia="Calibri" w:hAnsi="Calibri"/>
                <w:sz w:val="20"/>
                <w:szCs w:val="20"/>
                <w:color w:val="0000EE"/>
              </w:rPr>
              <w:t>“Disability</w:t>
            </w:r>
          </w:p>
        </w:tc>
        <w:tc>
          <w:tcPr>
            <w:tcW w:w="380" w:type="dxa"/>
            <w:vAlign w:val="bottom"/>
            <w:gridSpan w:val="7"/>
          </w:tcPr>
          <w:p>
            <w:pPr>
              <w:jc w:val="right"/>
              <w:ind w:right="20"/>
              <w:spacing w:after="0"/>
              <w:rPr>
                <w:sz w:val="20"/>
                <w:szCs w:val="20"/>
                <w:color w:val="auto"/>
              </w:rPr>
            </w:pPr>
            <w:r>
              <w:rPr>
                <w:rFonts w:ascii="Calibri" w:cs="Calibri" w:eastAsia="Calibri" w:hAnsi="Calibri"/>
                <w:sz w:val="20"/>
                <w:szCs w:val="20"/>
                <w:color w:val="0000EE"/>
              </w:rPr>
              <w:t>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60" w:type="dxa"/>
            <w:vAlign w:val="bottom"/>
            <w:tcBorders>
              <w:top w:val="single" w:sz="8" w:color="0000EE"/>
              <w:bottom w:val="single" w:sz="8" w:color="0000EE"/>
            </w:tcBorders>
            <w:gridSpan w:val="2"/>
          </w:tcPr>
          <w:p>
            <w:pPr>
              <w:ind w:left="20"/>
              <w:spacing w:after="0"/>
              <w:rPr>
                <w:sz w:val="20"/>
                <w:szCs w:val="20"/>
                <w:color w:val="auto"/>
              </w:rPr>
            </w:pPr>
            <w:r>
              <w:rPr>
                <w:rFonts w:ascii="Calibri" w:cs="Calibri" w:eastAsia="Calibri" w:hAnsi="Calibri"/>
                <w:sz w:val="20"/>
                <w:szCs w:val="20"/>
                <w:color w:val="0000EE"/>
                <w:w w:val="93"/>
              </w:rPr>
              <w:t>“DRO</w:t>
            </w:r>
          </w:p>
        </w:tc>
        <w:tc>
          <w:tcPr>
            <w:tcW w:w="320" w:type="dxa"/>
            <w:vAlign w:val="bottom"/>
            <w:tcBorders>
              <w:top w:val="single" w:sz="8" w:color="0000EE"/>
            </w:tcBorders>
            <w:gridSpan w:val="4"/>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gridSpan w:val="5"/>
          </w:tcPr>
          <w:p>
            <w:pPr>
              <w:spacing w:after="0"/>
              <w:rPr>
                <w:sz w:val="24"/>
                <w:szCs w:val="24"/>
                <w:color w:val="auto"/>
              </w:rPr>
            </w:pPr>
          </w:p>
        </w:tc>
        <w:tc>
          <w:tcPr>
            <w:tcW w:w="80" w:type="dxa"/>
            <w:vAlign w:val="bottom"/>
            <w:tcBorders>
              <w:bottom w:val="single" w:sz="8" w:color="0000EE"/>
            </w:tcBorders>
            <w:gridSpan w:val="3"/>
          </w:tcPr>
          <w:p>
            <w:pPr>
              <w:jc w:val="right"/>
              <w:spacing w:after="0"/>
              <w:rPr>
                <w:sz w:val="20"/>
                <w:szCs w:val="20"/>
                <w:color w:val="auto"/>
              </w:rPr>
            </w:pPr>
            <w:r>
              <w:rPr>
                <w:rFonts w:ascii="Calibri" w:cs="Calibri" w:eastAsia="Calibri" w:hAnsi="Calibri"/>
                <w:sz w:val="20"/>
                <w:szCs w:val="20"/>
                <w:color w:val="0000EE"/>
                <w:w w:val="78"/>
              </w:rPr>
              <w:t>7</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80" w:type="dxa"/>
            <w:vAlign w:val="bottom"/>
            <w:gridSpan w:val="15"/>
          </w:tcPr>
          <w:p>
            <w:pPr>
              <w:ind w:left="20"/>
              <w:spacing w:after="0"/>
              <w:rPr>
                <w:sz w:val="20"/>
                <w:szCs w:val="20"/>
                <w:color w:val="auto"/>
              </w:rPr>
            </w:pPr>
            <w:r>
              <w:rPr>
                <w:rFonts w:ascii="Calibri" w:cs="Calibri" w:eastAsia="Calibri" w:hAnsi="Calibri"/>
                <w:sz w:val="20"/>
                <w:szCs w:val="20"/>
                <w:color w:val="0000EE"/>
              </w:rPr>
              <w:t>“Efectve Date</w:t>
            </w:r>
          </w:p>
        </w:tc>
        <w:tc>
          <w:tcPr>
            <w:tcW w:w="60" w:type="dxa"/>
            <w:vAlign w:val="bottom"/>
          </w:tcPr>
          <w:p>
            <w:pPr>
              <w:spacing w:after="0"/>
              <w:rPr>
                <w:sz w:val="24"/>
                <w:szCs w:val="24"/>
                <w:color w:val="auto"/>
              </w:rPr>
            </w:pPr>
          </w:p>
        </w:tc>
        <w:tc>
          <w:tcPr>
            <w:tcW w:w="740" w:type="dxa"/>
            <w:vAlign w:val="bottom"/>
            <w:gridSpan w:val="14"/>
          </w:tcPr>
          <w:p>
            <w:pPr>
              <w:jc w:val="right"/>
              <w:spacing w:after="0"/>
              <w:rPr>
                <w:sz w:val="20"/>
                <w:szCs w:val="20"/>
                <w:color w:val="auto"/>
              </w:rPr>
            </w:pPr>
            <w:r>
              <w:rPr>
                <w:rFonts w:ascii="Calibri" w:cs="Calibri" w:eastAsia="Calibri" w:hAnsi="Calibri"/>
                <w:sz w:val="20"/>
                <w:szCs w:val="20"/>
                <w:color w:val="0000EE"/>
              </w:rPr>
              <w:t>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tcBorders>
              <w:bottom w:val="single" w:sz="8" w:color="0000EE"/>
            </w:tcBorders>
            <w:gridSpan w:val="20"/>
          </w:tcPr>
          <w:p>
            <w:pPr>
              <w:ind w:left="20"/>
              <w:spacing w:after="0"/>
              <w:rPr>
                <w:sz w:val="20"/>
                <w:szCs w:val="20"/>
                <w:color w:val="auto"/>
              </w:rPr>
            </w:pPr>
            <w:r>
              <w:rPr>
                <w:rFonts w:ascii="Calibri" w:cs="Calibri" w:eastAsia="Calibri" w:hAnsi="Calibri"/>
                <w:sz w:val="20"/>
                <w:szCs w:val="20"/>
                <w:color w:val="0000EE"/>
                <w:w w:val="97"/>
              </w:rPr>
              <w:t>“Eligible Individual</w:t>
            </w:r>
          </w:p>
        </w:tc>
        <w:tc>
          <w:tcPr>
            <w:tcW w:w="420" w:type="dxa"/>
            <w:vAlign w:val="bottom"/>
            <w:gridSpan w:val="9"/>
          </w:tcPr>
          <w:p>
            <w:pPr>
              <w:spacing w:after="0"/>
              <w:rPr>
                <w:sz w:val="24"/>
                <w:szCs w:val="24"/>
                <w:color w:val="auto"/>
              </w:rPr>
            </w:pPr>
          </w:p>
        </w:tc>
        <w:tc>
          <w:tcPr>
            <w:tcW w:w="240" w:type="dxa"/>
            <w:vAlign w:val="bottom"/>
            <w:gridSpan w:val="5"/>
          </w:tcPr>
          <w:p>
            <w:pPr>
              <w:spacing w:after="0"/>
              <w:rPr>
                <w:sz w:val="24"/>
                <w:szCs w:val="24"/>
                <w:color w:val="auto"/>
              </w:rPr>
            </w:pPr>
          </w:p>
        </w:tc>
        <w:tc>
          <w:tcPr>
            <w:tcW w:w="100" w:type="dxa"/>
            <w:vAlign w:val="bottom"/>
            <w:tcBorders>
              <w:bottom w:val="single" w:sz="8" w:color="0000EE"/>
            </w:tcBorders>
            <w:gridSpan w:val="3"/>
          </w:tcPr>
          <w:p>
            <w:pPr>
              <w:jc w:val="right"/>
              <w:spacing w:after="0"/>
              <w:rPr>
                <w:sz w:val="20"/>
                <w:szCs w:val="20"/>
                <w:color w:val="auto"/>
              </w:rPr>
            </w:pPr>
            <w:r>
              <w:rPr>
                <w:rFonts w:ascii="Calibri" w:cs="Calibri" w:eastAsia="Calibri" w:hAnsi="Calibri"/>
                <w:sz w:val="20"/>
                <w:szCs w:val="20"/>
                <w:color w:val="0000EE"/>
                <w:w w:val="78"/>
              </w:rPr>
              <w:t>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16"/>
          </w:tcPr>
          <w:p>
            <w:pPr>
              <w:ind w:left="20"/>
              <w:spacing w:after="0"/>
              <w:rPr>
                <w:sz w:val="20"/>
                <w:szCs w:val="20"/>
                <w:color w:val="auto"/>
              </w:rPr>
            </w:pPr>
            <w:r>
              <w:rPr>
                <w:rFonts w:ascii="Calibri" w:cs="Calibri" w:eastAsia="Calibri" w:hAnsi="Calibri"/>
                <w:sz w:val="20"/>
                <w:szCs w:val="20"/>
                <w:color w:val="0000EE"/>
              </w:rPr>
              <w:t>“Employee</w:t>
            </w:r>
          </w:p>
        </w:tc>
        <w:tc>
          <w:tcPr>
            <w:tcW w:w="420" w:type="dxa"/>
            <w:vAlign w:val="bottom"/>
            <w:gridSpan w:val="9"/>
          </w:tcPr>
          <w:p>
            <w:pPr>
              <w:jc w:val="right"/>
              <w:spacing w:after="0"/>
              <w:rPr>
                <w:sz w:val="20"/>
                <w:szCs w:val="20"/>
                <w:color w:val="auto"/>
              </w:rPr>
            </w:pPr>
            <w:r>
              <w:rPr>
                <w:rFonts w:ascii="Calibri" w:cs="Calibri" w:eastAsia="Calibri" w:hAnsi="Calibri"/>
                <w:sz w:val="20"/>
                <w:szCs w:val="20"/>
                <w:color w:val="0000EE"/>
              </w:rPr>
              <w:t>7</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24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16"/>
          </w:tcPr>
          <w:p>
            <w:pPr>
              <w:ind w:left="20"/>
              <w:spacing w:after="0"/>
              <w:rPr>
                <w:sz w:val="20"/>
                <w:szCs w:val="20"/>
                <w:color w:val="auto"/>
              </w:rPr>
            </w:pPr>
            <w:r>
              <w:rPr>
                <w:rFonts w:ascii="Calibri" w:cs="Calibri" w:eastAsia="Calibri" w:hAnsi="Calibri"/>
                <w:sz w:val="20"/>
                <w:szCs w:val="20"/>
                <w:color w:val="0000EE"/>
              </w:rPr>
              <w:t>“Exchange Act</w:t>
            </w:r>
          </w:p>
        </w:tc>
        <w:tc>
          <w:tcPr>
            <w:tcW w:w="700" w:type="dxa"/>
            <w:vAlign w:val="bottom"/>
            <w:gridSpan w:val="13"/>
          </w:tcPr>
          <w:p>
            <w:pPr>
              <w:jc w:val="right"/>
              <w:spacing w:after="0"/>
              <w:rPr>
                <w:sz w:val="20"/>
                <w:szCs w:val="20"/>
                <w:color w:val="auto"/>
              </w:rPr>
            </w:pPr>
            <w:r>
              <w:rPr>
                <w:rFonts w:ascii="Calibri" w:cs="Calibri" w:eastAsia="Calibri" w:hAnsi="Calibri"/>
                <w:sz w:val="20"/>
                <w:szCs w:val="20"/>
                <w:color w:val="0000EE"/>
              </w:rPr>
              <w:t>7</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40" w:type="dxa"/>
            <w:vAlign w:val="bottom"/>
            <w:tcBorders>
              <w:bottom w:val="single" w:sz="8" w:color="0000EE"/>
            </w:tcBorders>
            <w:gridSpan w:val="17"/>
          </w:tcPr>
          <w:p>
            <w:pPr>
              <w:ind w:left="20"/>
              <w:spacing w:after="0"/>
              <w:rPr>
                <w:sz w:val="20"/>
                <w:szCs w:val="20"/>
                <w:color w:val="auto"/>
              </w:rPr>
            </w:pPr>
            <w:r>
              <w:rPr>
                <w:rFonts w:ascii="Calibri" w:cs="Calibri" w:eastAsia="Calibri" w:hAnsi="Calibri"/>
                <w:sz w:val="20"/>
                <w:szCs w:val="20"/>
                <w:color w:val="0000EE"/>
                <w:w w:val="99"/>
              </w:rPr>
              <w:t>“Expiraton Date</w:t>
            </w:r>
          </w:p>
        </w:tc>
        <w:tc>
          <w:tcPr>
            <w:tcW w:w="600" w:type="dxa"/>
            <w:vAlign w:val="bottom"/>
            <w:gridSpan w:val="12"/>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0000EE"/>
            </w:tcBorders>
            <w:gridSpan w:val="3"/>
          </w:tcPr>
          <w:p>
            <w:pPr>
              <w:jc w:val="right"/>
              <w:spacing w:after="0"/>
              <w:rPr>
                <w:sz w:val="20"/>
                <w:szCs w:val="20"/>
                <w:color w:val="auto"/>
              </w:rPr>
            </w:pPr>
            <w:r>
              <w:rPr>
                <w:rFonts w:ascii="Calibri" w:cs="Calibri" w:eastAsia="Calibri" w:hAnsi="Calibri"/>
                <w:sz w:val="20"/>
                <w:szCs w:val="20"/>
                <w:color w:val="0000EE"/>
                <w:w w:val="98"/>
              </w:rPr>
              <w:t>7</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20" w:type="dxa"/>
            <w:vAlign w:val="bottom"/>
            <w:gridSpan w:val="20"/>
          </w:tcPr>
          <w:p>
            <w:pPr>
              <w:ind w:left="20"/>
              <w:spacing w:after="0"/>
              <w:rPr>
                <w:sz w:val="20"/>
                <w:szCs w:val="20"/>
                <w:color w:val="auto"/>
              </w:rPr>
            </w:pPr>
            <w:r>
              <w:rPr>
                <w:rFonts w:ascii="Calibri" w:cs="Calibri" w:eastAsia="Calibri" w:hAnsi="Calibri"/>
                <w:sz w:val="20"/>
                <w:szCs w:val="20"/>
                <w:color w:val="0000EE"/>
                <w:w w:val="95"/>
              </w:rPr>
              <w:t>“Fair Market Value</w:t>
            </w:r>
          </w:p>
        </w:tc>
        <w:tc>
          <w:tcPr>
            <w:tcW w:w="420" w:type="dxa"/>
            <w:vAlign w:val="bottom"/>
            <w:gridSpan w:val="9"/>
          </w:tcPr>
          <w:p>
            <w:pPr>
              <w:spacing w:after="0"/>
              <w:rPr>
                <w:sz w:val="24"/>
                <w:szCs w:val="24"/>
                <w:color w:val="auto"/>
              </w:rPr>
            </w:pPr>
          </w:p>
        </w:tc>
        <w:tc>
          <w:tcPr>
            <w:tcW w:w="340" w:type="dxa"/>
            <w:vAlign w:val="bottom"/>
            <w:gridSpan w:val="8"/>
          </w:tcPr>
          <w:p>
            <w:pPr>
              <w:jc w:val="right"/>
              <w:spacing w:after="0"/>
              <w:rPr>
                <w:sz w:val="20"/>
                <w:szCs w:val="20"/>
                <w:color w:val="auto"/>
              </w:rPr>
            </w:pPr>
            <w:r>
              <w:rPr>
                <w:rFonts w:ascii="Calibri" w:cs="Calibri" w:eastAsia="Calibri" w:hAnsi="Calibri"/>
                <w:sz w:val="20"/>
                <w:szCs w:val="20"/>
                <w:color w:val="0000EE"/>
              </w:rPr>
              <w:t>7</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7"/>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5"/>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gridSpan w:val="44"/>
          </w:tcPr>
          <w:p>
            <w:pPr>
              <w:ind w:left="20"/>
              <w:spacing w:after="0"/>
              <w:rPr>
                <w:sz w:val="20"/>
                <w:szCs w:val="20"/>
                <w:color w:val="auto"/>
              </w:rPr>
            </w:pPr>
            <w:r>
              <w:rPr>
                <w:rFonts w:ascii="Calibri" w:cs="Calibri" w:eastAsia="Calibri" w:hAnsi="Calibri"/>
                <w:sz w:val="20"/>
                <w:szCs w:val="20"/>
                <w:color w:val="0000EE"/>
                <w:w w:val="99"/>
              </w:rPr>
              <w:t>“Greater Than 10% Stockholder</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gridSpan w:val="5"/>
          </w:tcPr>
          <w:p>
            <w:pPr>
              <w:jc w:val="center"/>
              <w:ind w:left="281"/>
              <w:spacing w:after="0"/>
              <w:rPr>
                <w:sz w:val="20"/>
                <w:szCs w:val="20"/>
                <w:color w:val="auto"/>
              </w:rPr>
            </w:pPr>
            <w:r>
              <w:rPr>
                <w:rFonts w:ascii="Calibri" w:cs="Calibri" w:eastAsia="Calibri" w:hAnsi="Calibri"/>
                <w:sz w:val="20"/>
                <w:szCs w:val="20"/>
                <w:color w:val="0000EE"/>
                <w:w w:val="98"/>
              </w:rPr>
              <w:t>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1280" w:type="dxa"/>
            <w:vAlign w:val="bottom"/>
            <w:gridSpan w:val="2"/>
          </w:tcPr>
          <w:p>
            <w:pPr>
              <w:spacing w:after="0"/>
              <w:rPr>
                <w:sz w:val="24"/>
                <w:szCs w:val="24"/>
                <w:color w:val="auto"/>
              </w:rPr>
            </w:pPr>
          </w:p>
        </w:tc>
        <w:tc>
          <w:tcPr>
            <w:tcW w:w="1240" w:type="dxa"/>
            <w:vAlign w:val="bottom"/>
            <w:tcBorders>
              <w:top w:val="single" w:sz="8" w:color="0000EE"/>
            </w:tcBorders>
            <w:gridSpan w:val="16"/>
          </w:tcPr>
          <w:p>
            <w:pPr>
              <w:ind w:left="20"/>
              <w:spacing w:after="0"/>
              <w:rPr>
                <w:sz w:val="20"/>
                <w:szCs w:val="20"/>
                <w:color w:val="auto"/>
              </w:rPr>
            </w:pPr>
            <w:r>
              <w:rPr>
                <w:rFonts w:ascii="Calibri" w:cs="Calibri" w:eastAsia="Calibri" w:hAnsi="Calibri"/>
                <w:sz w:val="20"/>
                <w:szCs w:val="20"/>
                <w:color w:val="0000EE"/>
                <w:w w:val="97"/>
              </w:rPr>
              <w:t>“Holder</w:t>
            </w:r>
          </w:p>
        </w:tc>
        <w:tc>
          <w:tcPr>
            <w:tcW w:w="1380" w:type="dxa"/>
            <w:vAlign w:val="bottom"/>
            <w:tcBorders>
              <w:top w:val="single" w:sz="8" w:color="0000EE"/>
            </w:tcBorders>
            <w:gridSpan w:val="29"/>
          </w:tcPr>
          <w:p>
            <w:pPr>
              <w:jc w:val="right"/>
              <w:ind w:right="1121"/>
              <w:spacing w:after="0"/>
              <w:rPr>
                <w:sz w:val="20"/>
                <w:szCs w:val="20"/>
                <w:color w:val="auto"/>
              </w:rPr>
            </w:pPr>
            <w:r>
              <w:rPr>
                <w:rFonts w:ascii="Calibri" w:cs="Calibri" w:eastAsia="Calibri" w:hAnsi="Calibri"/>
                <w:sz w:val="20"/>
                <w:szCs w:val="20"/>
                <w:color w:val="0000EE"/>
              </w:rPr>
              <w:t>8</w:t>
            </w:r>
          </w:p>
        </w:tc>
        <w:tc>
          <w:tcPr>
            <w:tcW w:w="620" w:type="dxa"/>
            <w:vAlign w:val="bottom"/>
            <w:gridSpan w:val="9"/>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580" w:type="dxa"/>
            <w:vAlign w:val="bottom"/>
            <w:gridSpan w:val="6"/>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tcBorders>
              <w:right w:val="single" w:sz="8" w:color="0000EE"/>
            </w:tcBorders>
            <w:gridSpan w:val="4"/>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tcBorders>
              <w:bottom w:val="single" w:sz="8" w:color="0000EE"/>
            </w:tcBorders>
            <w:gridSpan w:val="29"/>
          </w:tcPr>
          <w:p>
            <w:pPr>
              <w:ind w:left="20"/>
              <w:spacing w:after="0"/>
              <w:rPr>
                <w:sz w:val="20"/>
                <w:szCs w:val="20"/>
                <w:color w:val="auto"/>
              </w:rPr>
            </w:pPr>
            <w:r>
              <w:rPr>
                <w:rFonts w:ascii="Calibri" w:cs="Calibri" w:eastAsia="Calibri" w:hAnsi="Calibri"/>
                <w:sz w:val="20"/>
                <w:szCs w:val="20"/>
                <w:color w:val="0000EE"/>
              </w:rPr>
              <w:t>“Incentve Stock Opton</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0000EE"/>
            </w:tcBorders>
            <w:gridSpan w:val="3"/>
          </w:tcPr>
          <w:p>
            <w:pPr>
              <w:jc w:val="right"/>
              <w:spacing w:after="0"/>
              <w:rPr>
                <w:sz w:val="20"/>
                <w:szCs w:val="20"/>
                <w:color w:val="auto"/>
              </w:rPr>
            </w:pPr>
            <w:r>
              <w:rPr>
                <w:rFonts w:ascii="Calibri" w:cs="Calibri" w:eastAsia="Calibri" w:hAnsi="Calibri"/>
                <w:sz w:val="20"/>
                <w:szCs w:val="20"/>
                <w:color w:val="0000EE"/>
                <w:w w:val="78"/>
              </w:rPr>
              <w:t>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Borders>
              <w:bottom w:val="single" w:sz="8" w:color="0000EE"/>
            </w:tcBorders>
            <w:gridSpan w:val="11"/>
          </w:tcPr>
          <w:p>
            <w:pPr>
              <w:ind w:left="20"/>
              <w:spacing w:after="0"/>
              <w:rPr>
                <w:sz w:val="20"/>
                <w:szCs w:val="20"/>
                <w:color w:val="auto"/>
              </w:rPr>
            </w:pPr>
            <w:r>
              <w:rPr>
                <w:rFonts w:ascii="Calibri" w:cs="Calibri" w:eastAsia="Calibri" w:hAnsi="Calibri"/>
                <w:sz w:val="20"/>
                <w:szCs w:val="20"/>
                <w:color w:val="0000EE"/>
                <w:w w:val="98"/>
              </w:rPr>
              <w:t>“Misconduct</w:t>
            </w:r>
          </w:p>
        </w:tc>
        <w:tc>
          <w:tcPr>
            <w:tcW w:w="180" w:type="dxa"/>
            <w:vAlign w:val="bottom"/>
            <w:gridSpan w:val="5"/>
          </w:tcPr>
          <w:p>
            <w:pPr>
              <w:spacing w:after="0"/>
              <w:rPr>
                <w:sz w:val="24"/>
                <w:szCs w:val="24"/>
                <w:color w:val="auto"/>
              </w:rPr>
            </w:pPr>
          </w:p>
        </w:tc>
        <w:tc>
          <w:tcPr>
            <w:tcW w:w="420" w:type="dxa"/>
            <w:vAlign w:val="bottom"/>
            <w:gridSpan w:val="9"/>
          </w:tcPr>
          <w:p>
            <w:pPr>
              <w:spacing w:after="0"/>
              <w:rPr>
                <w:sz w:val="24"/>
                <w:szCs w:val="24"/>
                <w:color w:val="auto"/>
              </w:rPr>
            </w:pPr>
          </w:p>
        </w:tc>
        <w:tc>
          <w:tcPr>
            <w:tcW w:w="140" w:type="dxa"/>
            <w:vAlign w:val="bottom"/>
            <w:tcBorders>
              <w:bottom w:val="single" w:sz="8" w:color="0000EE"/>
            </w:tcBorders>
            <w:gridSpan w:val="2"/>
          </w:tcPr>
          <w:p>
            <w:pPr>
              <w:jc w:val="right"/>
              <w:spacing w:after="0"/>
              <w:rPr>
                <w:sz w:val="20"/>
                <w:szCs w:val="20"/>
                <w:color w:val="auto"/>
              </w:rPr>
            </w:pPr>
            <w:r>
              <w:rPr>
                <w:rFonts w:ascii="Calibri" w:cs="Calibri" w:eastAsia="Calibri" w:hAnsi="Calibri"/>
                <w:sz w:val="20"/>
                <w:szCs w:val="20"/>
                <w:color w:val="0000EE"/>
              </w:rPr>
              <w:t>8</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gridSpan w:val="44"/>
          </w:tcPr>
          <w:p>
            <w:pPr>
              <w:ind w:left="20"/>
              <w:spacing w:after="0"/>
              <w:rPr>
                <w:sz w:val="20"/>
                <w:szCs w:val="20"/>
                <w:color w:val="auto"/>
              </w:rPr>
            </w:pPr>
            <w:r>
              <w:rPr>
                <w:rFonts w:ascii="Calibri" w:cs="Calibri" w:eastAsia="Calibri" w:hAnsi="Calibri"/>
                <w:sz w:val="20"/>
                <w:szCs w:val="20"/>
                <w:color w:val="0000EE"/>
              </w:rPr>
              <w:t>“Non-Employee Director</w:t>
            </w:r>
          </w:p>
        </w:tc>
        <w:tc>
          <w:tcPr>
            <w:tcW w:w="180" w:type="dxa"/>
            <w:vAlign w:val="bottom"/>
            <w:gridSpan w:val="5"/>
          </w:tcPr>
          <w:p>
            <w:pPr>
              <w:jc w:val="right"/>
              <w:spacing w:after="0"/>
              <w:rPr>
                <w:sz w:val="20"/>
                <w:szCs w:val="20"/>
                <w:color w:val="auto"/>
              </w:rPr>
            </w:pPr>
            <w:r>
              <w:rPr>
                <w:rFonts w:ascii="Calibri" w:cs="Calibri" w:eastAsia="Calibri" w:hAnsi="Calibri"/>
                <w:sz w:val="20"/>
                <w:szCs w:val="20"/>
                <w:color w:val="0000EE"/>
              </w:rPr>
              <w:t>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60" w:type="dxa"/>
            <w:vAlign w:val="bottom"/>
            <w:gridSpan w:val="9"/>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7"/>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1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40" w:type="dxa"/>
            <w:vAlign w:val="bottom"/>
            <w:gridSpan w:val="59"/>
          </w:tcPr>
          <w:p>
            <w:pPr>
              <w:ind w:left="20"/>
              <w:spacing w:after="0"/>
              <w:rPr>
                <w:sz w:val="20"/>
                <w:szCs w:val="20"/>
                <w:color w:val="auto"/>
              </w:rPr>
            </w:pPr>
            <w:r>
              <w:rPr>
                <w:rFonts w:ascii="Calibri" w:cs="Calibri" w:eastAsia="Calibri" w:hAnsi="Calibri"/>
                <w:sz w:val="20"/>
                <w:szCs w:val="20"/>
                <w:color w:val="0000EE"/>
              </w:rPr>
              <w:t>“Non-Employee Director Compensaton Policy</w:t>
            </w:r>
          </w:p>
        </w:tc>
        <w:tc>
          <w:tcPr>
            <w:tcW w:w="100" w:type="dxa"/>
            <w:vAlign w:val="bottom"/>
          </w:tcPr>
          <w:p>
            <w:pPr>
              <w:jc w:val="right"/>
              <w:spacing w:after="0"/>
              <w:rPr>
                <w:sz w:val="20"/>
                <w:szCs w:val="20"/>
                <w:color w:val="auto"/>
              </w:rPr>
            </w:pPr>
            <w:r>
              <w:rPr>
                <w:rFonts w:ascii="Calibri" w:cs="Calibri" w:eastAsia="Calibri" w:hAnsi="Calibri"/>
                <w:sz w:val="20"/>
                <w:szCs w:val="20"/>
                <w:color w:val="0000EE"/>
                <w:w w:val="78"/>
              </w:rPr>
              <w:t>8</w:t>
            </w:r>
          </w:p>
        </w:tc>
        <w:tc>
          <w:tcPr>
            <w:tcW w:w="338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0" w:type="dxa"/>
            <w:vAlign w:val="bottom"/>
            <w:tcBorders>
              <w:top w:val="single" w:sz="8" w:color="0000EE"/>
            </w:tcBorders>
            <w:gridSpan w:val="44"/>
          </w:tcPr>
          <w:p>
            <w:pPr>
              <w:ind w:left="20"/>
              <w:spacing w:after="0"/>
              <w:rPr>
                <w:sz w:val="20"/>
                <w:szCs w:val="20"/>
                <w:color w:val="auto"/>
              </w:rPr>
            </w:pPr>
            <w:r>
              <w:rPr>
                <w:rFonts w:ascii="Calibri" w:cs="Calibri" w:eastAsia="Calibri" w:hAnsi="Calibri"/>
                <w:sz w:val="20"/>
                <w:szCs w:val="20"/>
                <w:color w:val="0000EE"/>
              </w:rPr>
              <w:t>“Non-Qualifed Stock Opton</w:t>
            </w: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gridSpan w:val="3"/>
          </w:tcPr>
          <w:p>
            <w:pPr>
              <w:jc w:val="right"/>
              <w:spacing w:after="0"/>
              <w:rPr>
                <w:sz w:val="20"/>
                <w:szCs w:val="20"/>
                <w:color w:val="auto"/>
              </w:rPr>
            </w:pPr>
            <w:r>
              <w:rPr>
                <w:rFonts w:ascii="Calibri" w:cs="Calibri" w:eastAsia="Calibri" w:hAnsi="Calibri"/>
                <w:sz w:val="20"/>
                <w:szCs w:val="20"/>
                <w:color w:val="0000EE"/>
              </w:rPr>
              <w:t>8</w:t>
            </w:r>
          </w:p>
        </w:tc>
        <w:tc>
          <w:tcPr>
            <w:tcW w:w="1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380" w:type="dxa"/>
            <w:vAlign w:val="bottom"/>
          </w:tcPr>
          <w:p>
            <w:pPr>
              <w:spacing w:after="0"/>
              <w:rPr>
                <w:sz w:val="24"/>
                <w:szCs w:val="24"/>
                <w:color w:val="auto"/>
              </w:rPr>
            </w:pPr>
          </w:p>
        </w:tc>
      </w:tr>
      <w:tr>
        <w:trPr>
          <w:trHeight w:val="331"/>
        </w:trPr>
        <w:tc>
          <w:tcPr>
            <w:tcW w:w="1280" w:type="dxa"/>
            <w:vAlign w:val="bottom"/>
            <w:gridSpan w:val="2"/>
          </w:tcPr>
          <w:p>
            <w:pPr>
              <w:spacing w:after="0"/>
              <w:rPr>
                <w:sz w:val="24"/>
                <w:szCs w:val="24"/>
                <w:color w:val="auto"/>
              </w:rPr>
            </w:pPr>
          </w:p>
        </w:tc>
        <w:tc>
          <w:tcPr>
            <w:tcW w:w="1240" w:type="dxa"/>
            <w:vAlign w:val="bottom"/>
            <w:tcBorders>
              <w:top w:val="single" w:sz="8" w:color="0000EE"/>
            </w:tcBorders>
            <w:gridSpan w:val="16"/>
          </w:tcPr>
          <w:p>
            <w:pPr>
              <w:ind w:left="20"/>
              <w:spacing w:after="0"/>
              <w:rPr>
                <w:sz w:val="20"/>
                <w:szCs w:val="20"/>
                <w:color w:val="auto"/>
              </w:rPr>
            </w:pPr>
            <w:r>
              <w:rPr>
                <w:rFonts w:ascii="Calibri" w:cs="Calibri" w:eastAsia="Calibri" w:hAnsi="Calibri"/>
                <w:sz w:val="20"/>
                <w:szCs w:val="20"/>
                <w:color w:val="0000EE"/>
              </w:rPr>
              <w:t>“Opton</w:t>
            </w:r>
          </w:p>
        </w:tc>
        <w:tc>
          <w:tcPr>
            <w:tcW w:w="1100" w:type="dxa"/>
            <w:vAlign w:val="bottom"/>
            <w:tcBorders>
              <w:top w:val="single" w:sz="8" w:color="0000EE"/>
            </w:tcBorders>
            <w:gridSpan w:val="24"/>
          </w:tcPr>
          <w:p>
            <w:pPr>
              <w:jc w:val="right"/>
              <w:ind w:right="940"/>
              <w:spacing w:after="0"/>
              <w:rPr>
                <w:sz w:val="20"/>
                <w:szCs w:val="20"/>
                <w:color w:val="auto"/>
              </w:rPr>
            </w:pPr>
            <w:r>
              <w:rPr>
                <w:rFonts w:ascii="Calibri" w:cs="Calibri" w:eastAsia="Calibri" w:hAnsi="Calibri"/>
                <w:sz w:val="20"/>
                <w:szCs w:val="20"/>
                <w:color w:val="0000EE"/>
              </w:rPr>
              <w:t>8</w:t>
            </w:r>
          </w:p>
        </w:tc>
        <w:tc>
          <w:tcPr>
            <w:tcW w:w="660" w:type="dxa"/>
            <w:vAlign w:val="bottom"/>
            <w:gridSpan w:val="1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820" w:type="dxa"/>
            <w:vAlign w:val="bottom"/>
            <w:gridSpan w:val="8"/>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460" w:type="dxa"/>
            <w:vAlign w:val="bottom"/>
            <w:gridSpan w:val="9"/>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Borders>
              <w:bottom w:val="single" w:sz="8" w:color="0000EE"/>
            </w:tcBorders>
            <w:gridSpan w:val="13"/>
          </w:tcPr>
          <w:p>
            <w:pPr>
              <w:ind w:left="20"/>
              <w:spacing w:after="0"/>
              <w:rPr>
                <w:sz w:val="20"/>
                <w:szCs w:val="20"/>
                <w:color w:val="auto"/>
              </w:rPr>
            </w:pPr>
            <w:r>
              <w:rPr>
                <w:rFonts w:ascii="Calibri" w:cs="Calibri" w:eastAsia="Calibri" w:hAnsi="Calibri"/>
                <w:sz w:val="20"/>
                <w:szCs w:val="20"/>
                <w:color w:val="0000EE"/>
              </w:rPr>
              <w:t>“Opton Term</w:t>
            </w:r>
          </w:p>
        </w:tc>
        <w:tc>
          <w:tcPr>
            <w:tcW w:w="120" w:type="dxa"/>
            <w:vAlign w:val="bottom"/>
            <w:gridSpan w:val="3"/>
          </w:tcPr>
          <w:p>
            <w:pPr>
              <w:spacing w:after="0"/>
              <w:rPr>
                <w:sz w:val="24"/>
                <w:szCs w:val="24"/>
                <w:color w:val="auto"/>
              </w:rPr>
            </w:pPr>
          </w:p>
        </w:tc>
        <w:tc>
          <w:tcPr>
            <w:tcW w:w="520" w:type="dxa"/>
            <w:vAlign w:val="bottom"/>
            <w:gridSpan w:val="10"/>
          </w:tcPr>
          <w:p>
            <w:pPr>
              <w:spacing w:after="0"/>
              <w:rPr>
                <w:sz w:val="24"/>
                <w:szCs w:val="24"/>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Calibri" w:cs="Calibri" w:eastAsia="Calibri" w:hAnsi="Calibri"/>
                <w:sz w:val="20"/>
                <w:szCs w:val="20"/>
                <w:color w:val="0000EE"/>
                <w:w w:val="78"/>
              </w:rPr>
              <w:t>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gridSpan w:val="29"/>
          </w:tcPr>
          <w:p>
            <w:pPr>
              <w:ind w:left="20"/>
              <w:spacing w:after="0"/>
              <w:rPr>
                <w:sz w:val="20"/>
                <w:szCs w:val="20"/>
                <w:color w:val="auto"/>
              </w:rPr>
            </w:pPr>
            <w:r>
              <w:rPr>
                <w:rFonts w:ascii="Calibri" w:cs="Calibri" w:eastAsia="Calibri" w:hAnsi="Calibri"/>
                <w:sz w:val="20"/>
                <w:szCs w:val="20"/>
                <w:color w:val="0000EE"/>
              </w:rPr>
              <w:t>“Performance Award</w:t>
            </w:r>
          </w:p>
        </w:tc>
        <w:tc>
          <w:tcPr>
            <w:tcW w:w="540" w:type="dxa"/>
            <w:vAlign w:val="bottom"/>
            <w:gridSpan w:val="13"/>
          </w:tcPr>
          <w:p>
            <w:pPr>
              <w:jc w:val="right"/>
              <w:spacing w:after="0"/>
              <w:rPr>
                <w:sz w:val="20"/>
                <w:szCs w:val="20"/>
                <w:color w:val="auto"/>
              </w:rPr>
            </w:pPr>
            <w:r>
              <w:rPr>
                <w:rFonts w:ascii="Calibri" w:cs="Calibri" w:eastAsia="Calibri" w:hAnsi="Calibri"/>
                <w:sz w:val="20"/>
                <w:szCs w:val="20"/>
                <w:color w:val="0000EE"/>
              </w:rPr>
              <w:t>8</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60" w:type="dxa"/>
            <w:vAlign w:val="bottom"/>
            <w:gridSpan w:val="25"/>
            <w:shd w:val="clear" w:color="auto" w:fill="0000EE"/>
          </w:tcPr>
          <w:p>
            <w:pPr>
              <w:spacing w:after="0" w:line="20" w:lineRule="exact"/>
              <w:rPr>
                <w:sz w:val="1"/>
                <w:szCs w:val="1"/>
                <w:color w:val="auto"/>
              </w:rPr>
            </w:pPr>
          </w:p>
        </w:tc>
        <w:tc>
          <w:tcPr>
            <w:tcW w:w="140" w:type="dxa"/>
            <w:vAlign w:val="bottom"/>
            <w:tcBorders>
              <w:left w:val="single" w:sz="8" w:color="0000EE"/>
            </w:tcBorders>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gridSpan w:val="12"/>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40" w:type="dxa"/>
            <w:vAlign w:val="bottom"/>
            <w:gridSpan w:val="29"/>
          </w:tcPr>
          <w:p>
            <w:pPr>
              <w:ind w:left="20"/>
              <w:spacing w:after="0"/>
              <w:rPr>
                <w:sz w:val="20"/>
                <w:szCs w:val="20"/>
                <w:color w:val="auto"/>
              </w:rPr>
            </w:pPr>
            <w:r>
              <w:rPr>
                <w:rFonts w:ascii="Calibri" w:cs="Calibri" w:eastAsia="Calibri" w:hAnsi="Calibri"/>
                <w:sz w:val="20"/>
                <w:szCs w:val="20"/>
                <w:color w:val="0000EE"/>
              </w:rPr>
              <w:t>“Performance Criteria</w:t>
            </w:r>
          </w:p>
        </w:tc>
        <w:tc>
          <w:tcPr>
            <w:tcW w:w="620" w:type="dxa"/>
            <w:vAlign w:val="bottom"/>
            <w:gridSpan w:val="14"/>
          </w:tcPr>
          <w:p>
            <w:pPr>
              <w:jc w:val="right"/>
              <w:spacing w:after="0"/>
              <w:rPr>
                <w:sz w:val="20"/>
                <w:szCs w:val="20"/>
                <w:color w:val="auto"/>
              </w:rPr>
            </w:pPr>
            <w:r>
              <w:rPr>
                <w:rFonts w:ascii="Calibri" w:cs="Calibri" w:eastAsia="Calibri" w:hAnsi="Calibri"/>
                <w:sz w:val="20"/>
                <w:szCs w:val="20"/>
                <w:color w:val="0000EE"/>
              </w:rPr>
              <w:t>8</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472"/>
        </w:trPr>
        <w:tc>
          <w:tcPr>
            <w:tcW w:w="1280" w:type="dxa"/>
            <w:vAlign w:val="bottom"/>
            <w:gridSpan w:val="2"/>
          </w:tcPr>
          <w:p>
            <w:pPr>
              <w:spacing w:after="0"/>
              <w:rPr>
                <w:sz w:val="24"/>
                <w:szCs w:val="24"/>
                <w:color w:val="auto"/>
              </w:rPr>
            </w:pPr>
          </w:p>
        </w:tc>
        <w:tc>
          <w:tcPr>
            <w:tcW w:w="1800" w:type="dxa"/>
            <w:vAlign w:val="bottom"/>
            <w:tcBorders>
              <w:top w:val="single" w:sz="8" w:color="0000EE"/>
            </w:tcBorders>
            <w:gridSpan w:val="27"/>
          </w:tcPr>
          <w:p>
            <w:pPr>
              <w:spacing w:after="0"/>
              <w:rPr>
                <w:sz w:val="24"/>
                <w:szCs w:val="24"/>
                <w:color w:val="auto"/>
              </w:rPr>
            </w:pPr>
          </w:p>
        </w:tc>
        <w:tc>
          <w:tcPr>
            <w:tcW w:w="680" w:type="dxa"/>
            <w:vAlign w:val="bottom"/>
            <w:gridSpan w:val="15"/>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360" w:type="dxa"/>
            <w:vAlign w:val="bottom"/>
            <w:gridSpan w:val="18"/>
          </w:tcPr>
          <w:p>
            <w:pPr>
              <w:jc w:val="right"/>
              <w:ind w:right="5360"/>
              <w:spacing w:after="0"/>
              <w:rPr>
                <w:sz w:val="20"/>
                <w:szCs w:val="20"/>
                <w:color w:val="auto"/>
              </w:rPr>
            </w:pPr>
            <w:r>
              <w:rPr>
                <w:rFonts w:ascii="Times New Roman" w:cs="Times New Roman" w:eastAsia="Times New Roman" w:hAnsi="Times New Roman"/>
                <w:sz w:val="20"/>
                <w:szCs w:val="20"/>
                <w:color w:val="auto"/>
              </w:rPr>
              <w:t>1</w:t>
            </w:r>
          </w:p>
        </w:tc>
      </w:tr>
      <w:tr>
        <w:trPr>
          <w:trHeight w:val="453"/>
        </w:trPr>
        <w:tc>
          <w:tcPr>
            <w:tcW w:w="9200" w:type="dxa"/>
            <w:vAlign w:val="bottom"/>
            <w:tcBorders>
              <w:bottom w:val="single" w:sz="8" w:color="9A9A9A"/>
            </w:tcBorders>
            <w:gridSpan w:val="63"/>
          </w:tcPr>
          <w:p>
            <w:pPr>
              <w:spacing w:after="0"/>
              <w:rPr>
                <w:sz w:val="24"/>
                <w:szCs w:val="24"/>
                <w:color w:val="auto"/>
              </w:rPr>
            </w:pPr>
          </w:p>
        </w:tc>
      </w:tr>
      <w:tr>
        <w:trPr>
          <w:trHeight w:val="20"/>
        </w:trPr>
        <w:tc>
          <w:tcPr>
            <w:tcW w:w="9200" w:type="dxa"/>
            <w:vAlign w:val="bottom"/>
            <w:tcBorders>
              <w:bottom w:val="single" w:sz="8" w:color="EEEEEE"/>
            </w:tcBorders>
            <w:gridSpan w:val="6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-38100</wp:posOffset>
            </wp:positionV>
            <wp:extent cx="33655"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200"/>
          </w:cols>
          <w:pgMar w:left="1360" w:top="100" w:right="1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740" w:type="dxa"/>
            <w:vAlign w:val="bottom"/>
            <w:gridSpan w:val="22"/>
          </w:tcPr>
          <w:p>
            <w:pPr>
              <w:jc w:val="center"/>
              <w:ind w:right="350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r>
      <w:tr>
        <w:trPr>
          <w:trHeight w:val="628"/>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Borders>
              <w:bottom w:val="single" w:sz="8" w:color="0000EE"/>
            </w:tcBorders>
            <w:gridSpan w:val="21"/>
          </w:tcPr>
          <w:p>
            <w:pPr>
              <w:ind w:left="20"/>
              <w:spacing w:after="0"/>
              <w:rPr>
                <w:sz w:val="20"/>
                <w:szCs w:val="20"/>
                <w:color w:val="auto"/>
              </w:rPr>
            </w:pPr>
            <w:r>
              <w:rPr>
                <w:rFonts w:ascii="Calibri" w:cs="Calibri" w:eastAsia="Calibri" w:hAnsi="Calibri"/>
                <w:sz w:val="20"/>
                <w:szCs w:val="20"/>
                <w:color w:val="0000EE"/>
                <w:w w:val="98"/>
              </w:rPr>
              <w:t>“Performance Period</w:t>
            </w:r>
          </w:p>
        </w:tc>
        <w:tc>
          <w:tcPr>
            <w:tcW w:w="160" w:type="dxa"/>
            <w:vAlign w:val="bottom"/>
            <w:gridSpan w:val="4"/>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Borders>
              <w:bottom w:val="single" w:sz="8" w:color="0000EE"/>
            </w:tcBorders>
            <w:gridSpan w:val="3"/>
          </w:tcPr>
          <w:p>
            <w:pPr>
              <w:ind w:left="20"/>
              <w:spacing w:after="0"/>
              <w:rPr>
                <w:sz w:val="20"/>
                <w:szCs w:val="20"/>
                <w:color w:val="auto"/>
              </w:rPr>
            </w:pPr>
            <w:r>
              <w:rPr>
                <w:rFonts w:ascii="Calibri" w:cs="Calibri" w:eastAsia="Calibri" w:hAnsi="Calibri"/>
                <w:sz w:val="20"/>
                <w:szCs w:val="20"/>
                <w:color w:val="0000EE"/>
                <w:w w:val="78"/>
              </w:rPr>
              <w:t>9</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gridSpan w:val="33"/>
          </w:tcPr>
          <w:p>
            <w:pPr>
              <w:ind w:left="20"/>
              <w:spacing w:after="0"/>
              <w:rPr>
                <w:sz w:val="20"/>
                <w:szCs w:val="20"/>
                <w:color w:val="auto"/>
              </w:rPr>
            </w:pPr>
            <w:r>
              <w:rPr>
                <w:rFonts w:ascii="Calibri" w:cs="Calibri" w:eastAsia="Calibri" w:hAnsi="Calibri"/>
                <w:sz w:val="20"/>
                <w:szCs w:val="20"/>
                <w:color w:val="0000EE"/>
              </w:rPr>
              <w:t>“Performance Stock Unit</w:t>
            </w:r>
          </w:p>
        </w:tc>
        <w:tc>
          <w:tcPr>
            <w:tcW w:w="440" w:type="dxa"/>
            <w:vAlign w:val="bottom"/>
            <w:gridSpan w:val="7"/>
          </w:tcPr>
          <w:p>
            <w:pPr>
              <w:jc w:val="right"/>
              <w:ind w:right="20"/>
              <w:spacing w:after="0"/>
              <w:rPr>
                <w:sz w:val="20"/>
                <w:szCs w:val="20"/>
                <w:color w:val="auto"/>
              </w:rPr>
            </w:pPr>
            <w:r>
              <w:rPr>
                <w:rFonts w:ascii="Calibri" w:cs="Calibri" w:eastAsia="Calibri" w:hAnsi="Calibri"/>
                <w:sz w:val="20"/>
                <w:szCs w:val="20"/>
                <w:color w:val="0000EE"/>
              </w:rPr>
              <w:t>9</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Borders>
              <w:top w:val="single" w:sz="8" w:color="0000EE"/>
            </w:tcBorders>
            <w:gridSpan w:val="25"/>
          </w:tcPr>
          <w:p>
            <w:pPr>
              <w:ind w:left="20"/>
              <w:spacing w:after="0"/>
              <w:rPr>
                <w:sz w:val="20"/>
                <w:szCs w:val="20"/>
                <w:color w:val="auto"/>
              </w:rPr>
            </w:pPr>
            <w:r>
              <w:rPr>
                <w:rFonts w:ascii="Calibri" w:cs="Calibri" w:eastAsia="Calibri" w:hAnsi="Calibri"/>
                <w:sz w:val="20"/>
                <w:szCs w:val="20"/>
                <w:color w:val="0000EE"/>
              </w:rPr>
              <w:t>“Permited Transferee</w:t>
            </w: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5"/>
          </w:tcPr>
          <w:p>
            <w:pPr>
              <w:jc w:val="right"/>
              <w:ind w:right="180"/>
              <w:spacing w:after="0"/>
              <w:rPr>
                <w:sz w:val="20"/>
                <w:szCs w:val="20"/>
                <w:color w:val="auto"/>
              </w:rPr>
            </w:pPr>
            <w:r>
              <w:rPr>
                <w:rFonts w:ascii="Calibri" w:cs="Calibri" w:eastAsia="Calibri" w:hAnsi="Calibri"/>
                <w:sz w:val="20"/>
                <w:szCs w:val="20"/>
                <w:color w:val="0000EE"/>
              </w:rPr>
              <w:t>9</w:t>
            </w: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top w:val="single" w:sz="8" w:color="0000EE"/>
            </w:tcBorders>
            <w:gridSpan w:val="3"/>
          </w:tcPr>
          <w:p>
            <w:pPr>
              <w:ind w:left="20"/>
              <w:spacing w:after="0"/>
              <w:rPr>
                <w:sz w:val="20"/>
                <w:szCs w:val="20"/>
                <w:color w:val="auto"/>
              </w:rPr>
            </w:pPr>
            <w:r>
              <w:rPr>
                <w:rFonts w:ascii="Calibri" w:cs="Calibri" w:eastAsia="Calibri" w:hAnsi="Calibri"/>
                <w:sz w:val="20"/>
                <w:szCs w:val="20"/>
                <w:color w:val="0000EE"/>
              </w:rPr>
              <w:t>“Plan</w:t>
            </w:r>
          </w:p>
        </w:tc>
        <w:tc>
          <w:tcPr>
            <w:tcW w:w="560" w:type="dxa"/>
            <w:vAlign w:val="bottom"/>
            <w:tcBorders>
              <w:top w:val="single" w:sz="8" w:color="0000EE"/>
            </w:tcBorders>
            <w:gridSpan w:val="7"/>
          </w:tcPr>
          <w:p>
            <w:pPr>
              <w:jc w:val="right"/>
              <w:spacing w:after="0"/>
              <w:rPr>
                <w:sz w:val="20"/>
                <w:szCs w:val="20"/>
                <w:color w:val="auto"/>
              </w:rPr>
            </w:pPr>
            <w:r>
              <w:rPr>
                <w:rFonts w:ascii="Calibri" w:cs="Calibri" w:eastAsia="Calibri" w:hAnsi="Calibri"/>
                <w:sz w:val="20"/>
                <w:szCs w:val="20"/>
                <w:color w:val="0000EE"/>
              </w:rPr>
              <w:t>9</w:t>
            </w: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00" w:type="dxa"/>
            <w:vAlign w:val="bottom"/>
            <w:tcBorders>
              <w:bottom w:val="single" w:sz="8" w:color="0000EE"/>
            </w:tcBorders>
            <w:gridSpan w:val="5"/>
          </w:tcPr>
          <w:p>
            <w:pPr>
              <w:ind w:left="20"/>
              <w:spacing w:after="0"/>
              <w:rPr>
                <w:sz w:val="20"/>
                <w:szCs w:val="20"/>
                <w:color w:val="auto"/>
              </w:rPr>
            </w:pPr>
            <w:r>
              <w:rPr>
                <w:rFonts w:ascii="Calibri" w:cs="Calibri" w:eastAsia="Calibri" w:hAnsi="Calibri"/>
                <w:sz w:val="20"/>
                <w:szCs w:val="20"/>
                <w:color w:val="0000EE"/>
                <w:w w:val="98"/>
              </w:rPr>
              <w:t>“Prior Plan</w:t>
            </w:r>
          </w:p>
        </w:tc>
        <w:tc>
          <w:tcPr>
            <w:tcW w:w="340" w:type="dxa"/>
            <w:vAlign w:val="bottom"/>
            <w:gridSpan w:val="7"/>
          </w:tcPr>
          <w:p>
            <w:pPr>
              <w:spacing w:after="0"/>
              <w:rPr>
                <w:sz w:val="24"/>
                <w:szCs w:val="24"/>
                <w:color w:val="auto"/>
              </w:rPr>
            </w:pPr>
          </w:p>
        </w:tc>
        <w:tc>
          <w:tcPr>
            <w:tcW w:w="300" w:type="dxa"/>
            <w:vAlign w:val="bottom"/>
            <w:gridSpan w:val="5"/>
          </w:tcPr>
          <w:p>
            <w:pPr>
              <w:spacing w:after="0"/>
              <w:rPr>
                <w:sz w:val="24"/>
                <w:szCs w:val="24"/>
                <w:color w:val="auto"/>
              </w:rPr>
            </w:pPr>
          </w:p>
        </w:tc>
        <w:tc>
          <w:tcPr>
            <w:tcW w:w="100" w:type="dxa"/>
            <w:vAlign w:val="bottom"/>
            <w:tcBorders>
              <w:bottom w:val="single" w:sz="8" w:color="0000EE"/>
            </w:tcBorders>
            <w:gridSpan w:val="2"/>
          </w:tcPr>
          <w:p>
            <w:pPr>
              <w:jc w:val="right"/>
              <w:spacing w:after="0"/>
              <w:rPr>
                <w:sz w:val="20"/>
                <w:szCs w:val="20"/>
                <w:color w:val="auto"/>
              </w:rPr>
            </w:pPr>
            <w:r>
              <w:rPr>
                <w:rFonts w:ascii="Calibri" w:cs="Calibri" w:eastAsia="Calibri" w:hAnsi="Calibri"/>
                <w:sz w:val="20"/>
                <w:szCs w:val="20"/>
                <w:color w:val="0000EE"/>
                <w:w w:val="78"/>
              </w:rPr>
              <w:t>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16"/>
          </w:tcPr>
          <w:p>
            <w:pPr>
              <w:ind w:left="20"/>
              <w:spacing w:after="0"/>
              <w:rPr>
                <w:sz w:val="20"/>
                <w:szCs w:val="20"/>
                <w:color w:val="auto"/>
              </w:rPr>
            </w:pPr>
            <w:r>
              <w:rPr>
                <w:rFonts w:ascii="Calibri" w:cs="Calibri" w:eastAsia="Calibri" w:hAnsi="Calibri"/>
                <w:sz w:val="20"/>
                <w:szCs w:val="20"/>
                <w:color w:val="0000EE"/>
                <w:w w:val="98"/>
              </w:rPr>
              <w:t>“Prior Plan Award</w:t>
            </w:r>
          </w:p>
        </w:tc>
        <w:tc>
          <w:tcPr>
            <w:tcW w:w="420" w:type="dxa"/>
            <w:vAlign w:val="bottom"/>
            <w:gridSpan w:val="9"/>
          </w:tcPr>
          <w:p>
            <w:pPr>
              <w:spacing w:after="0"/>
              <w:rPr>
                <w:sz w:val="24"/>
                <w:szCs w:val="24"/>
                <w:color w:val="auto"/>
              </w:rPr>
            </w:pPr>
          </w:p>
        </w:tc>
        <w:tc>
          <w:tcPr>
            <w:tcW w:w="280" w:type="dxa"/>
            <w:vAlign w:val="bottom"/>
            <w:gridSpan w:val="5"/>
          </w:tcPr>
          <w:p>
            <w:pPr>
              <w:jc w:val="right"/>
              <w:spacing w:after="0"/>
              <w:rPr>
                <w:sz w:val="20"/>
                <w:szCs w:val="20"/>
                <w:color w:val="auto"/>
              </w:rPr>
            </w:pPr>
            <w:r>
              <w:rPr>
                <w:rFonts w:ascii="Calibri" w:cs="Calibri" w:eastAsia="Calibri" w:hAnsi="Calibri"/>
                <w:sz w:val="20"/>
                <w:szCs w:val="20"/>
                <w:color w:val="0000EE"/>
              </w:rPr>
              <w:t>9</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Borders>
              <w:bottom w:val="single" w:sz="8" w:color="0000EE"/>
            </w:tcBorders>
            <w:gridSpan w:val="16"/>
          </w:tcPr>
          <w:p>
            <w:pPr>
              <w:ind w:left="20"/>
              <w:spacing w:after="0"/>
              <w:rPr>
                <w:sz w:val="20"/>
                <w:szCs w:val="20"/>
                <w:color w:val="auto"/>
              </w:rPr>
            </w:pPr>
            <w:r>
              <w:rPr>
                <w:rFonts w:ascii="Calibri" w:cs="Calibri" w:eastAsia="Calibri" w:hAnsi="Calibri"/>
                <w:sz w:val="20"/>
                <w:szCs w:val="20"/>
                <w:color w:val="0000EE"/>
              </w:rPr>
              <w:t>“Restricted Stock</w:t>
            </w:r>
          </w:p>
        </w:tc>
        <w:tc>
          <w:tcPr>
            <w:tcW w:w="420" w:type="dxa"/>
            <w:vAlign w:val="bottom"/>
            <w:gridSpan w:val="9"/>
          </w:tcPr>
          <w:p>
            <w:pPr>
              <w:spacing w:after="0"/>
              <w:rPr>
                <w:sz w:val="24"/>
                <w:szCs w:val="24"/>
                <w:color w:val="auto"/>
              </w:rPr>
            </w:pPr>
          </w:p>
        </w:tc>
        <w:tc>
          <w:tcPr>
            <w:tcW w:w="140" w:type="dxa"/>
            <w:vAlign w:val="bottom"/>
            <w:gridSpan w:val="2"/>
          </w:tcPr>
          <w:p>
            <w:pPr>
              <w:spacing w:after="0"/>
              <w:rPr>
                <w:sz w:val="24"/>
                <w:szCs w:val="24"/>
                <w:color w:val="auto"/>
              </w:rPr>
            </w:pPr>
          </w:p>
        </w:tc>
        <w:tc>
          <w:tcPr>
            <w:tcW w:w="220" w:type="dxa"/>
            <w:vAlign w:val="bottom"/>
            <w:tcBorders>
              <w:bottom w:val="single" w:sz="8" w:color="0000EE"/>
            </w:tcBorders>
            <w:gridSpan w:val="4"/>
          </w:tcPr>
          <w:p>
            <w:pPr>
              <w:ind w:left="20"/>
              <w:spacing w:after="0"/>
              <w:rPr>
                <w:sz w:val="20"/>
                <w:szCs w:val="20"/>
                <w:color w:val="auto"/>
              </w:rPr>
            </w:pPr>
            <w:r>
              <w:rPr>
                <w:rFonts w:ascii="Calibri" w:cs="Calibri" w:eastAsia="Calibri" w:hAnsi="Calibri"/>
                <w:sz w:val="20"/>
                <w:szCs w:val="20"/>
                <w:color w:val="0000EE"/>
                <w:w w:val="88"/>
              </w:rPr>
              <w:t>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gridSpan w:val="25"/>
          </w:tcPr>
          <w:p>
            <w:pPr>
              <w:ind w:left="20"/>
              <w:spacing w:after="0"/>
              <w:rPr>
                <w:sz w:val="20"/>
                <w:szCs w:val="20"/>
                <w:color w:val="auto"/>
              </w:rPr>
            </w:pPr>
            <w:r>
              <w:rPr>
                <w:rFonts w:ascii="Calibri" w:cs="Calibri" w:eastAsia="Calibri" w:hAnsi="Calibri"/>
                <w:sz w:val="20"/>
                <w:szCs w:val="20"/>
                <w:color w:val="0000EE"/>
                <w:w w:val="98"/>
              </w:rPr>
              <w:t>“Restricted Stock Units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5"/>
          </w:tcPr>
          <w:p>
            <w:pPr>
              <w:jc w:val="right"/>
              <w:spacing w:after="0"/>
              <w:rPr>
                <w:sz w:val="20"/>
                <w:szCs w:val="20"/>
                <w:color w:val="auto"/>
              </w:rPr>
            </w:pPr>
            <w:r>
              <w:rPr>
                <w:rFonts w:ascii="Calibri" w:cs="Calibri" w:eastAsia="Calibri" w:hAnsi="Calibri"/>
                <w:sz w:val="20"/>
                <w:szCs w:val="20"/>
                <w:color w:val="0000EE"/>
              </w:rPr>
              <w:t>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gridSpan w:val="12"/>
          </w:tcPr>
          <w:p>
            <w:pPr>
              <w:ind w:left="20"/>
              <w:spacing w:after="0"/>
              <w:rPr>
                <w:sz w:val="20"/>
                <w:szCs w:val="20"/>
                <w:color w:val="auto"/>
              </w:rPr>
            </w:pPr>
            <w:r>
              <w:rPr>
                <w:rFonts w:ascii="Calibri" w:cs="Calibri" w:eastAsia="Calibri" w:hAnsi="Calibri"/>
                <w:sz w:val="20"/>
                <w:szCs w:val="20"/>
                <w:color w:val="0000EE"/>
              </w:rPr>
              <w:t>“Securites Act</w:t>
            </w:r>
          </w:p>
        </w:tc>
        <w:tc>
          <w:tcPr>
            <w:tcW w:w="820" w:type="dxa"/>
            <w:vAlign w:val="bottom"/>
            <w:gridSpan w:val="16"/>
          </w:tcPr>
          <w:p>
            <w:pPr>
              <w:jc w:val="right"/>
              <w:spacing w:after="0"/>
              <w:rPr>
                <w:sz w:val="20"/>
                <w:szCs w:val="20"/>
                <w:color w:val="auto"/>
              </w:rPr>
            </w:pPr>
            <w:r>
              <w:rPr>
                <w:rFonts w:ascii="Calibri" w:cs="Calibri" w:eastAsia="Calibri" w:hAnsi="Calibri"/>
                <w:sz w:val="20"/>
                <w:szCs w:val="20"/>
                <w:color w:val="0000EE"/>
              </w:rPr>
              <w:t>10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40" w:type="dxa"/>
            <w:vAlign w:val="bottom"/>
            <w:tcBorders>
              <w:top w:val="single" w:sz="8" w:color="0000EE"/>
              <w:bottom w:val="single" w:sz="8" w:color="0000EE"/>
            </w:tcBorders>
            <w:gridSpan w:val="3"/>
          </w:tcPr>
          <w:p>
            <w:pPr>
              <w:ind w:left="20"/>
              <w:spacing w:after="0"/>
              <w:rPr>
                <w:sz w:val="20"/>
                <w:szCs w:val="20"/>
                <w:color w:val="auto"/>
              </w:rPr>
            </w:pPr>
            <w:r>
              <w:rPr>
                <w:rFonts w:ascii="Calibri" w:cs="Calibri" w:eastAsia="Calibri" w:hAnsi="Calibri"/>
                <w:sz w:val="20"/>
                <w:szCs w:val="20"/>
                <w:color w:val="0000EE"/>
                <w:w w:val="96"/>
              </w:rPr>
              <w:t>“Shares</w:t>
            </w: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Calibri" w:cs="Calibri" w:eastAsia="Calibri" w:hAnsi="Calibri"/>
                <w:sz w:val="20"/>
                <w:szCs w:val="20"/>
                <w:color w:val="0000EE"/>
                <w:w w:val="98"/>
              </w:rPr>
              <w:t>10</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360" w:type="dxa"/>
            <w:vAlign w:val="bottom"/>
            <w:gridSpan w:val="33"/>
          </w:tcPr>
          <w:p>
            <w:pPr>
              <w:ind w:left="20"/>
              <w:spacing w:after="0"/>
              <w:rPr>
                <w:sz w:val="20"/>
                <w:szCs w:val="20"/>
                <w:color w:val="auto"/>
              </w:rPr>
            </w:pPr>
            <w:r>
              <w:rPr>
                <w:rFonts w:ascii="Calibri" w:cs="Calibri" w:eastAsia="Calibri" w:hAnsi="Calibri"/>
                <w:sz w:val="20"/>
                <w:szCs w:val="20"/>
                <w:color w:val="0000EE"/>
              </w:rPr>
              <w:t>“Stock Appreciaton Right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gridSpan w:val="3"/>
          </w:tcPr>
          <w:p>
            <w:pPr>
              <w:jc w:val="right"/>
              <w:spacing w:after="0"/>
              <w:rPr>
                <w:sz w:val="20"/>
                <w:szCs w:val="20"/>
                <w:color w:val="auto"/>
              </w:rPr>
            </w:pPr>
            <w:r>
              <w:rPr>
                <w:rFonts w:ascii="Calibri" w:cs="Calibri" w:eastAsia="Calibri" w:hAnsi="Calibri"/>
                <w:sz w:val="20"/>
                <w:szCs w:val="20"/>
                <w:color w:val="0000EE"/>
                <w:w w:val="98"/>
              </w:rPr>
              <w:t>10</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gridSpan w:val="3"/>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gridSpan w:val="38"/>
          </w:tcPr>
          <w:p>
            <w:pPr>
              <w:ind w:left="20"/>
              <w:spacing w:after="0"/>
              <w:rPr>
                <w:sz w:val="20"/>
                <w:szCs w:val="20"/>
                <w:color w:val="auto"/>
              </w:rPr>
            </w:pPr>
            <w:r>
              <w:rPr>
                <w:rFonts w:ascii="Calibri" w:cs="Calibri" w:eastAsia="Calibri" w:hAnsi="Calibri"/>
                <w:sz w:val="20"/>
                <w:szCs w:val="20"/>
                <w:color w:val="0000EE"/>
              </w:rPr>
              <w:t>“Stock Appreciaton Right Term</w:t>
            </w:r>
          </w:p>
        </w:tc>
        <w:tc>
          <w:tcPr>
            <w:tcW w:w="700" w:type="dxa"/>
            <w:vAlign w:val="bottom"/>
            <w:gridSpan w:val="6"/>
          </w:tcPr>
          <w:p>
            <w:pPr>
              <w:jc w:val="center"/>
              <w:ind w:left="361"/>
              <w:spacing w:after="0"/>
              <w:rPr>
                <w:sz w:val="20"/>
                <w:szCs w:val="20"/>
                <w:color w:val="auto"/>
              </w:rPr>
            </w:pPr>
            <w:r>
              <w:rPr>
                <w:rFonts w:ascii="Calibri" w:cs="Calibri" w:eastAsia="Calibri" w:hAnsi="Calibri"/>
                <w:sz w:val="20"/>
                <w:szCs w:val="20"/>
                <w:color w:val="0000EE"/>
                <w:w w:val="98"/>
              </w:rPr>
              <w:t>10</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320" w:type="dxa"/>
            <w:vAlign w:val="bottom"/>
            <w:tcBorders>
              <w:top w:val="single" w:sz="8" w:color="0000EE"/>
            </w:tcBorders>
            <w:gridSpan w:val="15"/>
          </w:tcPr>
          <w:p>
            <w:pPr>
              <w:ind w:left="20"/>
              <w:spacing w:after="0"/>
              <w:rPr>
                <w:sz w:val="20"/>
                <w:szCs w:val="20"/>
                <w:color w:val="auto"/>
              </w:rPr>
            </w:pPr>
            <w:r>
              <w:rPr>
                <w:rFonts w:ascii="Calibri" w:cs="Calibri" w:eastAsia="Calibri" w:hAnsi="Calibri"/>
                <w:sz w:val="20"/>
                <w:szCs w:val="20"/>
                <w:color w:val="0000EE"/>
                <w:w w:val="99"/>
              </w:rPr>
              <w:t>“Stock Payment</w:t>
            </w:r>
          </w:p>
        </w:tc>
        <w:tc>
          <w:tcPr>
            <w:tcW w:w="580" w:type="dxa"/>
            <w:vAlign w:val="bottom"/>
            <w:tcBorders>
              <w:top w:val="single" w:sz="8" w:color="0000EE"/>
            </w:tcBorders>
            <w:gridSpan w:val="10"/>
          </w:tcPr>
          <w:p>
            <w:pPr>
              <w:spacing w:after="0"/>
              <w:rPr>
                <w:sz w:val="24"/>
                <w:szCs w:val="24"/>
                <w:color w:val="auto"/>
              </w:rPr>
            </w:pPr>
          </w:p>
        </w:tc>
        <w:tc>
          <w:tcPr>
            <w:tcW w:w="280" w:type="dxa"/>
            <w:vAlign w:val="bottom"/>
            <w:tcBorders>
              <w:top w:val="single" w:sz="8" w:color="0000EE"/>
            </w:tcBorders>
            <w:gridSpan w:val="5"/>
          </w:tcPr>
          <w:p>
            <w:pPr>
              <w:jc w:val="right"/>
              <w:ind w:right="20"/>
              <w:spacing w:after="0"/>
              <w:rPr>
                <w:sz w:val="20"/>
                <w:szCs w:val="20"/>
                <w:color w:val="auto"/>
              </w:rPr>
            </w:pPr>
            <w:r>
              <w:rPr>
                <w:rFonts w:ascii="Calibri" w:cs="Calibri" w:eastAsia="Calibri" w:hAnsi="Calibri"/>
                <w:sz w:val="20"/>
                <w:szCs w:val="20"/>
                <w:color w:val="0000EE"/>
              </w:rPr>
              <w:t>10</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Borders>
              <w:top w:val="single" w:sz="8" w:color="0000EE"/>
              <w:bottom w:val="single" w:sz="8" w:color="0000EE"/>
            </w:tcBorders>
            <w:gridSpan w:val="6"/>
          </w:tcPr>
          <w:p>
            <w:pPr>
              <w:ind w:left="20"/>
              <w:spacing w:after="0"/>
              <w:rPr>
                <w:sz w:val="20"/>
                <w:szCs w:val="20"/>
                <w:color w:val="auto"/>
              </w:rPr>
            </w:pPr>
            <w:r>
              <w:rPr>
                <w:rFonts w:ascii="Calibri" w:cs="Calibri" w:eastAsia="Calibri" w:hAnsi="Calibri"/>
                <w:sz w:val="20"/>
                <w:szCs w:val="20"/>
                <w:color w:val="0000EE"/>
                <w:w w:val="98"/>
              </w:rPr>
              <w:t>“Subsidiary</w:t>
            </w:r>
          </w:p>
        </w:tc>
        <w:tc>
          <w:tcPr>
            <w:tcW w:w="300" w:type="dxa"/>
            <w:vAlign w:val="bottom"/>
            <w:tcBorders>
              <w:top w:val="single" w:sz="8" w:color="0000EE"/>
            </w:tcBorders>
            <w:gridSpan w:val="6"/>
          </w:tcPr>
          <w:p>
            <w:pPr>
              <w:spacing w:after="0"/>
              <w:rPr>
                <w:sz w:val="24"/>
                <w:szCs w:val="24"/>
                <w:color w:val="auto"/>
              </w:rPr>
            </w:pPr>
          </w:p>
        </w:tc>
        <w:tc>
          <w:tcPr>
            <w:tcW w:w="80" w:type="dxa"/>
            <w:vAlign w:val="bottom"/>
            <w:tcBorders>
              <w:top w:val="single" w:sz="8" w:color="0000EE"/>
            </w:tcBorders>
            <w:gridSpan w:val="3"/>
          </w:tcPr>
          <w:p>
            <w:pPr>
              <w:spacing w:after="0"/>
              <w:rPr>
                <w:sz w:val="24"/>
                <w:szCs w:val="24"/>
                <w:color w:val="auto"/>
              </w:rPr>
            </w:pPr>
          </w:p>
        </w:tc>
        <w:tc>
          <w:tcPr>
            <w:tcW w:w="260" w:type="dxa"/>
            <w:vAlign w:val="bottom"/>
            <w:gridSpan w:val="3"/>
          </w:tcPr>
          <w:p>
            <w:pPr>
              <w:spacing w:after="0"/>
              <w:rPr>
                <w:sz w:val="24"/>
                <w:szCs w:val="24"/>
                <w:color w:val="auto"/>
              </w:rPr>
            </w:pPr>
          </w:p>
        </w:tc>
        <w:tc>
          <w:tcPr>
            <w:tcW w:w="220" w:type="dxa"/>
            <w:vAlign w:val="bottom"/>
            <w:tcBorders>
              <w:bottom w:val="single" w:sz="8" w:color="0000EE"/>
            </w:tcBorders>
            <w:gridSpan w:val="4"/>
          </w:tcPr>
          <w:p>
            <w:pPr>
              <w:jc w:val="right"/>
              <w:ind w:right="20"/>
              <w:spacing w:after="0"/>
              <w:rPr>
                <w:sz w:val="20"/>
                <w:szCs w:val="20"/>
                <w:color w:val="auto"/>
              </w:rPr>
            </w:pPr>
            <w:r>
              <w:rPr>
                <w:rFonts w:ascii="Calibri" w:cs="Calibri" w:eastAsia="Calibri" w:hAnsi="Calibri"/>
                <w:sz w:val="20"/>
                <w:szCs w:val="20"/>
                <w:color w:val="0000EE"/>
                <w:w w:val="88"/>
              </w:rPr>
              <w:t>10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gridSpan w:val="16"/>
          </w:tcPr>
          <w:p>
            <w:pPr>
              <w:ind w:left="20"/>
              <w:spacing w:after="0"/>
              <w:rPr>
                <w:sz w:val="20"/>
                <w:szCs w:val="20"/>
                <w:color w:val="auto"/>
              </w:rPr>
            </w:pPr>
            <w:r>
              <w:rPr>
                <w:rFonts w:ascii="Calibri" w:cs="Calibri" w:eastAsia="Calibri" w:hAnsi="Calibri"/>
                <w:sz w:val="20"/>
                <w:szCs w:val="20"/>
                <w:color w:val="0000EE"/>
                <w:w w:val="98"/>
              </w:rPr>
              <w:t>“Substtute Award</w:t>
            </w:r>
          </w:p>
        </w:tc>
        <w:tc>
          <w:tcPr>
            <w:tcW w:w="420" w:type="dxa"/>
            <w:vAlign w:val="bottom"/>
            <w:gridSpan w:val="9"/>
          </w:tcPr>
          <w:p>
            <w:pPr>
              <w:spacing w:after="0"/>
              <w:rPr>
                <w:sz w:val="24"/>
                <w:szCs w:val="24"/>
                <w:color w:val="auto"/>
              </w:rPr>
            </w:pPr>
          </w:p>
        </w:tc>
        <w:tc>
          <w:tcPr>
            <w:tcW w:w="460" w:type="dxa"/>
            <w:vAlign w:val="bottom"/>
            <w:gridSpan w:val="8"/>
          </w:tcPr>
          <w:p>
            <w:pPr>
              <w:jc w:val="right"/>
              <w:spacing w:after="0"/>
              <w:rPr>
                <w:sz w:val="20"/>
                <w:szCs w:val="20"/>
                <w:color w:val="auto"/>
              </w:rPr>
            </w:pPr>
            <w:r>
              <w:rPr>
                <w:rFonts w:ascii="Calibri" w:cs="Calibri" w:eastAsia="Calibri" w:hAnsi="Calibri"/>
                <w:sz w:val="20"/>
                <w:szCs w:val="20"/>
                <w:color w:val="0000EE"/>
              </w:rPr>
              <w:t>10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gridSpan w:val="25"/>
          </w:tcPr>
          <w:p>
            <w:pPr>
              <w:ind w:left="20"/>
              <w:spacing w:after="0"/>
              <w:rPr>
                <w:sz w:val="20"/>
                <w:szCs w:val="20"/>
                <w:color w:val="auto"/>
              </w:rPr>
            </w:pPr>
            <w:r>
              <w:rPr>
                <w:rFonts w:ascii="Calibri" w:cs="Calibri" w:eastAsia="Calibri" w:hAnsi="Calibri"/>
                <w:sz w:val="20"/>
                <w:szCs w:val="20"/>
                <w:color w:val="0000EE"/>
                <w:w w:val="98"/>
              </w:rPr>
              <w:t>“Terminaton of Service</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gridSpan w:val="7"/>
          </w:tcPr>
          <w:p>
            <w:pPr>
              <w:jc w:val="right"/>
              <w:spacing w:after="0"/>
              <w:rPr>
                <w:sz w:val="20"/>
                <w:szCs w:val="20"/>
                <w:color w:val="auto"/>
              </w:rPr>
            </w:pPr>
            <w:r>
              <w:rPr>
                <w:rFonts w:ascii="Calibri" w:cs="Calibri" w:eastAsia="Calibri" w:hAnsi="Calibri"/>
                <w:sz w:val="20"/>
                <w:szCs w:val="20"/>
                <w:color w:val="0000EE"/>
              </w:rPr>
              <w:t>10</w:t>
            </w: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2540" w:type="dxa"/>
            <w:vAlign w:val="bottom"/>
            <w:gridSpan w:val="26"/>
          </w:tcPr>
          <w:p>
            <w:pPr>
              <w:spacing w:after="0"/>
              <w:rPr>
                <w:sz w:val="20"/>
                <w:szCs w:val="20"/>
                <w:color w:val="auto"/>
              </w:rPr>
            </w:pPr>
            <w:r>
              <w:rPr>
                <w:rFonts w:ascii="Calibri" w:cs="Calibri" w:eastAsia="Calibri" w:hAnsi="Calibri"/>
                <w:sz w:val="20"/>
                <w:szCs w:val="20"/>
                <w:color w:val="0000EE"/>
              </w:rPr>
              <w:t>SHARES SUBJECT TO THE PLAN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gridSpan w:val="5"/>
          </w:tcPr>
          <w:p>
            <w:pPr>
              <w:jc w:val="right"/>
              <w:ind w:right="20"/>
              <w:spacing w:after="0"/>
              <w:rPr>
                <w:sz w:val="20"/>
                <w:szCs w:val="20"/>
                <w:color w:val="auto"/>
              </w:rPr>
            </w:pPr>
            <w:r>
              <w:rPr>
                <w:rFonts w:ascii="Calibri" w:cs="Calibri" w:eastAsia="Calibri" w:hAnsi="Calibri"/>
                <w:sz w:val="20"/>
                <w:szCs w:val="20"/>
                <w:color w:val="0000EE"/>
              </w:rPr>
              <w:t>11</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480" w:type="dxa"/>
            <w:vAlign w:val="bottom"/>
            <w:tcBorders>
              <w:top w:val="single" w:sz="8" w:color="0000EE"/>
            </w:tcBorders>
            <w:gridSpan w:val="16"/>
          </w:tcPr>
          <w:p>
            <w:pPr>
              <w:ind w:left="20"/>
              <w:spacing w:after="0"/>
              <w:rPr>
                <w:sz w:val="20"/>
                <w:szCs w:val="20"/>
                <w:color w:val="auto"/>
              </w:rPr>
            </w:pPr>
            <w:r>
              <w:rPr>
                <w:rFonts w:ascii="Calibri" w:cs="Calibri" w:eastAsia="Calibri" w:hAnsi="Calibri"/>
                <w:sz w:val="20"/>
                <w:szCs w:val="20"/>
                <w:color w:val="0000EE"/>
                <w:w w:val="96"/>
              </w:rPr>
              <w:t>Number of Shares</w:t>
            </w:r>
          </w:p>
        </w:tc>
        <w:tc>
          <w:tcPr>
            <w:tcW w:w="420" w:type="dxa"/>
            <w:vAlign w:val="bottom"/>
            <w:tcBorders>
              <w:top w:val="single" w:sz="8" w:color="0000EE"/>
            </w:tcBorders>
            <w:gridSpan w:val="9"/>
          </w:tcPr>
          <w:p>
            <w:pPr>
              <w:spacing w:after="0"/>
              <w:rPr>
                <w:sz w:val="24"/>
                <w:szCs w:val="24"/>
                <w:color w:val="auto"/>
              </w:rPr>
            </w:pPr>
          </w:p>
        </w:tc>
        <w:tc>
          <w:tcPr>
            <w:tcW w:w="440" w:type="dxa"/>
            <w:vAlign w:val="bottom"/>
            <w:gridSpan w:val="7"/>
          </w:tcPr>
          <w:p>
            <w:pPr>
              <w:jc w:val="right"/>
              <w:spacing w:after="0"/>
              <w:rPr>
                <w:sz w:val="20"/>
                <w:szCs w:val="20"/>
                <w:color w:val="auto"/>
              </w:rPr>
            </w:pPr>
            <w:r>
              <w:rPr>
                <w:rFonts w:ascii="Calibri" w:cs="Calibri" w:eastAsia="Calibri" w:hAnsi="Calibri"/>
                <w:sz w:val="20"/>
                <w:szCs w:val="20"/>
                <w:color w:val="0000EE"/>
              </w:rPr>
              <w:t>11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80" w:type="dxa"/>
            <w:vAlign w:val="bottom"/>
            <w:tcBorders>
              <w:bottom w:val="single" w:sz="8" w:color="0000EE"/>
            </w:tcBorders>
            <w:gridSpan w:val="16"/>
          </w:tcPr>
          <w:p>
            <w:pPr>
              <w:ind w:left="20"/>
              <w:spacing w:after="0"/>
              <w:rPr>
                <w:sz w:val="20"/>
                <w:szCs w:val="20"/>
                <w:color w:val="auto"/>
              </w:rPr>
            </w:pPr>
            <w:r>
              <w:rPr>
                <w:rFonts w:ascii="Calibri" w:cs="Calibri" w:eastAsia="Calibri" w:hAnsi="Calibri"/>
                <w:sz w:val="20"/>
                <w:szCs w:val="20"/>
                <w:color w:val="0000EE"/>
              </w:rPr>
              <w:t>Stock Distributed</w:t>
            </w:r>
          </w:p>
        </w:tc>
        <w:tc>
          <w:tcPr>
            <w:tcW w:w="420" w:type="dxa"/>
            <w:vAlign w:val="bottom"/>
            <w:gridSpan w:val="9"/>
          </w:tcPr>
          <w:p>
            <w:pPr>
              <w:spacing w:after="0"/>
              <w:rPr>
                <w:sz w:val="24"/>
                <w:szCs w:val="24"/>
                <w:color w:val="auto"/>
              </w:rPr>
            </w:pPr>
          </w:p>
        </w:tc>
        <w:tc>
          <w:tcPr>
            <w:tcW w:w="160" w:type="dxa"/>
            <w:vAlign w:val="bottom"/>
            <w:gridSpan w:val="3"/>
          </w:tcPr>
          <w:p>
            <w:pPr>
              <w:spacing w:after="0"/>
              <w:rPr>
                <w:sz w:val="24"/>
                <w:szCs w:val="24"/>
                <w:color w:val="auto"/>
              </w:rPr>
            </w:pPr>
          </w:p>
        </w:tc>
        <w:tc>
          <w:tcPr>
            <w:tcW w:w="280" w:type="dxa"/>
            <w:vAlign w:val="bottom"/>
            <w:tcBorders>
              <w:bottom w:val="single" w:sz="8" w:color="0000EE"/>
            </w:tcBorders>
            <w:gridSpan w:val="4"/>
          </w:tcPr>
          <w:p>
            <w:pPr>
              <w:spacing w:after="0"/>
              <w:rPr>
                <w:sz w:val="20"/>
                <w:szCs w:val="20"/>
                <w:color w:val="auto"/>
              </w:rPr>
            </w:pPr>
            <w:r>
              <w:rPr>
                <w:rFonts w:ascii="Calibri" w:cs="Calibri" w:eastAsia="Calibri" w:hAnsi="Calibri"/>
                <w:sz w:val="20"/>
                <w:szCs w:val="20"/>
                <w:color w:val="0000EE"/>
              </w:rPr>
              <w:t>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1940" w:type="dxa"/>
            <w:vAlign w:val="bottom"/>
            <w:tcBorders>
              <w:bottom w:val="single" w:sz="8" w:color="0000EE"/>
            </w:tcBorders>
            <w:gridSpan w:val="15"/>
          </w:tcPr>
          <w:p>
            <w:pPr>
              <w:spacing w:after="0"/>
              <w:rPr>
                <w:sz w:val="20"/>
                <w:szCs w:val="20"/>
                <w:color w:val="auto"/>
              </w:rPr>
            </w:pPr>
            <w:r>
              <w:rPr>
                <w:rFonts w:ascii="Calibri" w:cs="Calibri" w:eastAsia="Calibri" w:hAnsi="Calibri"/>
                <w:sz w:val="20"/>
                <w:szCs w:val="20"/>
                <w:color w:val="0000EE"/>
                <w:w w:val="99"/>
              </w:rPr>
              <w:t>GRANTING OF AWARDS</w:t>
            </w:r>
          </w:p>
        </w:tc>
        <w:tc>
          <w:tcPr>
            <w:tcW w:w="600" w:type="dxa"/>
            <w:vAlign w:val="bottom"/>
            <w:gridSpan w:val="11"/>
          </w:tcPr>
          <w:p>
            <w:pPr>
              <w:spacing w:after="0"/>
              <w:rPr>
                <w:sz w:val="24"/>
                <w:szCs w:val="24"/>
                <w:color w:val="auto"/>
              </w:rPr>
            </w:pPr>
          </w:p>
        </w:tc>
        <w:tc>
          <w:tcPr>
            <w:tcW w:w="280" w:type="dxa"/>
            <w:vAlign w:val="bottom"/>
            <w:tcBorders>
              <w:bottom w:val="single" w:sz="8" w:color="0000EE"/>
            </w:tcBorders>
            <w:gridSpan w:val="5"/>
          </w:tcPr>
          <w:p>
            <w:pPr>
              <w:jc w:val="right"/>
              <w:ind w:right="20"/>
              <w:spacing w:after="0"/>
              <w:rPr>
                <w:sz w:val="20"/>
                <w:szCs w:val="20"/>
                <w:color w:val="auto"/>
              </w:rPr>
            </w:pPr>
            <w:r>
              <w:rPr>
                <w:rFonts w:ascii="Calibri" w:cs="Calibri" w:eastAsia="Calibri" w:hAnsi="Calibri"/>
                <w:sz w:val="20"/>
                <w:szCs w:val="20"/>
                <w:color w:val="0000EE"/>
              </w:rPr>
              <w:t>12</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gridSpan w:val="8"/>
          </w:tcPr>
          <w:p>
            <w:pPr>
              <w:ind w:left="20"/>
              <w:spacing w:after="0"/>
              <w:rPr>
                <w:sz w:val="20"/>
                <w:szCs w:val="20"/>
                <w:color w:val="auto"/>
              </w:rPr>
            </w:pPr>
            <w:r>
              <w:rPr>
                <w:rFonts w:ascii="Calibri" w:cs="Calibri" w:eastAsia="Calibri" w:hAnsi="Calibri"/>
                <w:sz w:val="20"/>
                <w:szCs w:val="20"/>
                <w:color w:val="0000EE"/>
              </w:rPr>
              <w:t>Partcipaton</w:t>
            </w:r>
          </w:p>
        </w:tc>
        <w:tc>
          <w:tcPr>
            <w:tcW w:w="180" w:type="dxa"/>
            <w:vAlign w:val="bottom"/>
            <w:gridSpan w:val="4"/>
          </w:tcPr>
          <w:p>
            <w:pPr>
              <w:spacing w:after="0"/>
              <w:rPr>
                <w:sz w:val="24"/>
                <w:szCs w:val="24"/>
                <w:color w:val="auto"/>
              </w:rPr>
            </w:pPr>
          </w:p>
        </w:tc>
        <w:tc>
          <w:tcPr>
            <w:tcW w:w="660" w:type="dxa"/>
            <w:vAlign w:val="bottom"/>
            <w:gridSpan w:val="13"/>
          </w:tcPr>
          <w:p>
            <w:pPr>
              <w:jc w:val="right"/>
              <w:spacing w:after="0"/>
              <w:rPr>
                <w:sz w:val="20"/>
                <w:szCs w:val="20"/>
                <w:color w:val="auto"/>
              </w:rPr>
            </w:pPr>
            <w:r>
              <w:rPr>
                <w:rFonts w:ascii="Calibri" w:cs="Calibri" w:eastAsia="Calibri" w:hAnsi="Calibri"/>
                <w:sz w:val="20"/>
                <w:szCs w:val="20"/>
                <w:color w:val="0000EE"/>
              </w:rPr>
              <w:t>12</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gridSpan w:val="25"/>
          </w:tcPr>
          <w:p>
            <w:pPr>
              <w:ind w:left="20"/>
              <w:spacing w:after="0"/>
              <w:rPr>
                <w:sz w:val="20"/>
                <w:szCs w:val="20"/>
                <w:color w:val="auto"/>
              </w:rPr>
            </w:pPr>
            <w:r>
              <w:rPr>
                <w:rFonts w:ascii="Calibri" w:cs="Calibri" w:eastAsia="Calibri" w:hAnsi="Calibri"/>
                <w:sz w:val="20"/>
                <w:szCs w:val="20"/>
                <w:color w:val="0000EE"/>
              </w:rPr>
              <w:t>Award Agreement</w:t>
            </w:r>
          </w:p>
        </w:tc>
        <w:tc>
          <w:tcPr>
            <w:tcW w:w="460" w:type="dxa"/>
            <w:vAlign w:val="bottom"/>
            <w:gridSpan w:val="8"/>
          </w:tcPr>
          <w:p>
            <w:pPr>
              <w:jc w:val="right"/>
              <w:spacing w:after="0"/>
              <w:rPr>
                <w:sz w:val="20"/>
                <w:szCs w:val="20"/>
                <w:color w:val="auto"/>
              </w:rPr>
            </w:pPr>
            <w:r>
              <w:rPr>
                <w:rFonts w:ascii="Calibri" w:cs="Calibri" w:eastAsia="Calibri" w:hAnsi="Calibri"/>
                <w:sz w:val="20"/>
                <w:szCs w:val="20"/>
                <w:color w:val="0000EE"/>
              </w:rPr>
              <w:t>12</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40" w:type="dxa"/>
            <w:vAlign w:val="bottom"/>
            <w:gridSpan w:val="46"/>
          </w:tcPr>
          <w:p>
            <w:pPr>
              <w:ind w:left="20"/>
              <w:spacing w:after="0"/>
              <w:rPr>
                <w:sz w:val="20"/>
                <w:szCs w:val="20"/>
                <w:color w:val="auto"/>
              </w:rPr>
            </w:pPr>
            <w:r>
              <w:rPr>
                <w:rFonts w:ascii="Calibri" w:cs="Calibri" w:eastAsia="Calibri" w:hAnsi="Calibri"/>
                <w:sz w:val="20"/>
                <w:szCs w:val="20"/>
                <w:color w:val="0000EE"/>
              </w:rPr>
              <w:t>Limitatons Applicable to Secton 16 Persons</w:t>
            </w:r>
          </w:p>
        </w:tc>
        <w:tc>
          <w:tcPr>
            <w:tcW w:w="840" w:type="dxa"/>
            <w:vAlign w:val="bottom"/>
            <w:gridSpan w:val="4"/>
          </w:tcPr>
          <w:p>
            <w:pPr>
              <w:jc w:val="right"/>
              <w:spacing w:after="0"/>
              <w:rPr>
                <w:sz w:val="20"/>
                <w:szCs w:val="20"/>
                <w:color w:val="auto"/>
              </w:rPr>
            </w:pPr>
            <w:r>
              <w:rPr>
                <w:rFonts w:ascii="Calibri" w:cs="Calibri" w:eastAsia="Calibri" w:hAnsi="Calibri"/>
                <w:sz w:val="20"/>
                <w:szCs w:val="20"/>
                <w:color w:val="0000EE"/>
              </w:rPr>
              <w:t>12</w:t>
            </w: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00" w:type="dxa"/>
            <w:vAlign w:val="bottom"/>
            <w:tcBorders>
              <w:right w:val="single" w:sz="8" w:color="0000EE"/>
            </w:tcBorders>
            <w:gridSpan w:val="4"/>
            <w:shd w:val="clear" w:color="auto" w:fill="0000EE"/>
          </w:tcPr>
          <w:p>
            <w:pPr>
              <w:spacing w:after="0" w:line="20" w:lineRule="exact"/>
              <w:rPr>
                <w:sz w:val="1"/>
                <w:szCs w:val="1"/>
                <w:color w:val="auto"/>
              </w:rPr>
            </w:pPr>
          </w:p>
        </w:tc>
        <w:tc>
          <w:tcPr>
            <w:tcW w:w="500" w:type="dxa"/>
            <w:vAlign w:val="bottom"/>
            <w:gridSpan w:val="5"/>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40" w:type="dxa"/>
            <w:vAlign w:val="bottom"/>
            <w:gridSpan w:val="46"/>
          </w:tcPr>
          <w:p>
            <w:pPr>
              <w:ind w:left="20"/>
              <w:spacing w:after="0"/>
              <w:rPr>
                <w:sz w:val="20"/>
                <w:szCs w:val="20"/>
                <w:color w:val="auto"/>
              </w:rPr>
            </w:pPr>
            <w:r>
              <w:rPr>
                <w:rFonts w:ascii="Calibri" w:cs="Calibri" w:eastAsia="Calibri" w:hAnsi="Calibri"/>
                <w:sz w:val="20"/>
                <w:szCs w:val="20"/>
                <w:color w:val="0000EE"/>
              </w:rPr>
              <w:t>At-Will Employment; Voluntary Partcipaton</w:t>
            </w:r>
          </w:p>
        </w:tc>
        <w:tc>
          <w:tcPr>
            <w:tcW w:w="860" w:type="dxa"/>
            <w:vAlign w:val="bottom"/>
            <w:gridSpan w:val="5"/>
          </w:tcPr>
          <w:p>
            <w:pPr>
              <w:jc w:val="right"/>
              <w:spacing w:after="0"/>
              <w:rPr>
                <w:sz w:val="20"/>
                <w:szCs w:val="20"/>
                <w:color w:val="auto"/>
              </w:rPr>
            </w:pPr>
            <w:r>
              <w:rPr>
                <w:rFonts w:ascii="Calibri" w:cs="Calibri" w:eastAsia="Calibri" w:hAnsi="Calibri"/>
                <w:sz w:val="20"/>
                <w:szCs w:val="20"/>
                <w:color w:val="0000EE"/>
              </w:rPr>
              <w:t>12</w:t>
            </w: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tcBorders>
              <w:top w:val="single" w:sz="8" w:color="0000EE"/>
            </w:tcBorders>
            <w:gridSpan w:val="25"/>
          </w:tcPr>
          <w:p>
            <w:pPr>
              <w:ind w:left="20"/>
              <w:spacing w:after="0"/>
              <w:rPr>
                <w:sz w:val="20"/>
                <w:szCs w:val="20"/>
                <w:color w:val="auto"/>
              </w:rPr>
            </w:pPr>
            <w:r>
              <w:rPr>
                <w:rFonts w:ascii="Calibri" w:cs="Calibri" w:eastAsia="Calibri" w:hAnsi="Calibri"/>
                <w:sz w:val="20"/>
                <w:szCs w:val="20"/>
                <w:color w:val="0000EE"/>
              </w:rPr>
              <w:t>Foreign Holders</w:t>
            </w:r>
          </w:p>
        </w:tc>
        <w:tc>
          <w:tcPr>
            <w:tcW w:w="280" w:type="dxa"/>
            <w:vAlign w:val="bottom"/>
            <w:tcBorders>
              <w:top w:val="single" w:sz="8" w:color="0000EE"/>
            </w:tcBorders>
            <w:gridSpan w:val="5"/>
          </w:tcPr>
          <w:p>
            <w:pPr>
              <w:jc w:val="right"/>
              <w:ind w:right="20"/>
              <w:spacing w:after="0"/>
              <w:rPr>
                <w:sz w:val="20"/>
                <w:szCs w:val="20"/>
                <w:color w:val="auto"/>
              </w:rPr>
            </w:pPr>
            <w:r>
              <w:rPr>
                <w:rFonts w:ascii="Calibri" w:cs="Calibri" w:eastAsia="Calibri" w:hAnsi="Calibri"/>
                <w:sz w:val="20"/>
                <w:szCs w:val="20"/>
                <w:color w:val="0000EE"/>
              </w:rPr>
              <w:t>12</w:t>
            </w: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3"/>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500" w:type="dxa"/>
            <w:vAlign w:val="bottom"/>
            <w:gridSpan w:val="5"/>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tcBorders>
              <w:bottom w:val="single" w:sz="8" w:color="0000EE"/>
            </w:tcBorders>
            <w:gridSpan w:val="38"/>
          </w:tcPr>
          <w:p>
            <w:pPr>
              <w:ind w:left="20"/>
              <w:spacing w:after="0"/>
              <w:rPr>
                <w:sz w:val="20"/>
                <w:szCs w:val="20"/>
                <w:color w:val="auto"/>
              </w:rPr>
            </w:pPr>
            <w:r>
              <w:rPr>
                <w:rFonts w:ascii="Calibri" w:cs="Calibri" w:eastAsia="Calibri" w:hAnsi="Calibri"/>
                <w:sz w:val="20"/>
                <w:szCs w:val="20"/>
                <w:color w:val="0000EE"/>
              </w:rPr>
              <w:t>Non-Employee Director Awards</w:t>
            </w:r>
          </w:p>
        </w:tc>
        <w:tc>
          <w:tcPr>
            <w:tcW w:w="500" w:type="dxa"/>
            <w:vAlign w:val="bottom"/>
            <w:gridSpan w:val="5"/>
          </w:tcPr>
          <w:p>
            <w:pPr>
              <w:spacing w:after="0"/>
              <w:rPr>
                <w:sz w:val="24"/>
                <w:szCs w:val="24"/>
                <w:color w:val="auto"/>
              </w:rPr>
            </w:pPr>
          </w:p>
        </w:tc>
        <w:tc>
          <w:tcPr>
            <w:tcW w:w="200" w:type="dxa"/>
            <w:vAlign w:val="bottom"/>
            <w:tcBorders>
              <w:bottom w:val="single" w:sz="8" w:color="0000EE"/>
            </w:tcBorders>
          </w:tcPr>
          <w:p>
            <w:pPr>
              <w:jc w:val="right"/>
              <w:spacing w:after="0"/>
              <w:rPr>
                <w:sz w:val="20"/>
                <w:szCs w:val="20"/>
                <w:color w:val="auto"/>
              </w:rPr>
            </w:pPr>
            <w:r>
              <w:rPr>
                <w:rFonts w:ascii="Calibri" w:cs="Calibri" w:eastAsia="Calibri" w:hAnsi="Calibri"/>
                <w:sz w:val="20"/>
                <w:szCs w:val="20"/>
                <w:color w:val="0000EE"/>
                <w:w w:val="88"/>
              </w:rPr>
              <w:t>13</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40" w:type="dxa"/>
            <w:vAlign w:val="bottom"/>
            <w:gridSpan w:val="38"/>
          </w:tcPr>
          <w:p>
            <w:pPr>
              <w:ind w:left="20"/>
              <w:spacing w:after="0"/>
              <w:rPr>
                <w:sz w:val="20"/>
                <w:szCs w:val="20"/>
                <w:color w:val="auto"/>
              </w:rPr>
            </w:pPr>
            <w:r>
              <w:rPr>
                <w:rFonts w:ascii="Calibri" w:cs="Calibri" w:eastAsia="Calibri" w:hAnsi="Calibri"/>
                <w:sz w:val="20"/>
                <w:szCs w:val="20"/>
                <w:color w:val="0000EE"/>
                <w:w w:val="98"/>
              </w:rPr>
              <w:t>Stand-Alone and Tandem Awards</w:t>
            </w:r>
          </w:p>
        </w:tc>
        <w:tc>
          <w:tcPr>
            <w:tcW w:w="840" w:type="dxa"/>
            <w:vAlign w:val="bottom"/>
            <w:gridSpan w:val="7"/>
          </w:tcPr>
          <w:p>
            <w:pPr>
              <w:jc w:val="right"/>
              <w:spacing w:after="0"/>
              <w:rPr>
                <w:sz w:val="20"/>
                <w:szCs w:val="20"/>
                <w:color w:val="auto"/>
              </w:rPr>
            </w:pPr>
            <w:r>
              <w:rPr>
                <w:rFonts w:ascii="Calibri" w:cs="Calibri" w:eastAsia="Calibri" w:hAnsi="Calibri"/>
                <w:sz w:val="20"/>
                <w:szCs w:val="20"/>
                <w:color w:val="0000EE"/>
              </w:rPr>
              <w:t>13</w:t>
            </w: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1280" w:type="dxa"/>
            <w:vAlign w:val="bottom"/>
            <w:gridSpan w:val="4"/>
          </w:tcPr>
          <w:p>
            <w:pPr>
              <w:spacing w:after="0"/>
              <w:rPr>
                <w:sz w:val="20"/>
                <w:szCs w:val="20"/>
                <w:color w:val="auto"/>
              </w:rPr>
            </w:pPr>
            <w:r>
              <w:rPr>
                <w:rFonts w:ascii="Calibri" w:cs="Calibri" w:eastAsia="Calibri" w:hAnsi="Calibri"/>
                <w:sz w:val="20"/>
                <w:szCs w:val="20"/>
                <w:color w:val="0000EE"/>
              </w:rPr>
              <w:t>OPTIONS</w:t>
            </w:r>
          </w:p>
        </w:tc>
        <w:tc>
          <w:tcPr>
            <w:tcW w:w="320" w:type="dxa"/>
            <w:vAlign w:val="bottom"/>
            <w:gridSpan w:val="4"/>
          </w:tcPr>
          <w:p>
            <w:pPr>
              <w:jc w:val="right"/>
              <w:spacing w:after="0"/>
              <w:rPr>
                <w:sz w:val="20"/>
                <w:szCs w:val="20"/>
                <w:color w:val="auto"/>
              </w:rPr>
            </w:pPr>
            <w:r>
              <w:rPr>
                <w:rFonts w:ascii="Calibri" w:cs="Calibri" w:eastAsia="Calibri" w:hAnsi="Calibri"/>
                <w:sz w:val="20"/>
                <w:szCs w:val="20"/>
                <w:color w:val="0000EE"/>
              </w:rPr>
              <w:t>13</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640" w:type="dxa"/>
            <w:vAlign w:val="bottom"/>
            <w:gridSpan w:val="46"/>
          </w:tcPr>
          <w:p>
            <w:pPr>
              <w:ind w:left="20"/>
              <w:spacing w:after="0"/>
              <w:rPr>
                <w:sz w:val="20"/>
                <w:szCs w:val="20"/>
                <w:color w:val="auto"/>
              </w:rPr>
            </w:pPr>
            <w:r>
              <w:rPr>
                <w:rFonts w:ascii="Calibri" w:cs="Calibri" w:eastAsia="Calibri" w:hAnsi="Calibri"/>
                <w:sz w:val="20"/>
                <w:szCs w:val="20"/>
                <w:color w:val="0000EE"/>
              </w:rPr>
              <w:t>Grantng of Optons to Eligible Individuals</w:t>
            </w:r>
          </w:p>
        </w:tc>
        <w:tc>
          <w:tcPr>
            <w:tcW w:w="620" w:type="dxa"/>
            <w:vAlign w:val="bottom"/>
            <w:gridSpan w:val="2"/>
          </w:tcPr>
          <w:p>
            <w:pPr>
              <w:jc w:val="right"/>
              <w:spacing w:after="0"/>
              <w:rPr>
                <w:sz w:val="20"/>
                <w:szCs w:val="20"/>
                <w:color w:val="auto"/>
              </w:rPr>
            </w:pPr>
            <w:r>
              <w:rPr>
                <w:rFonts w:ascii="Calibri" w:cs="Calibri" w:eastAsia="Calibri" w:hAnsi="Calibri"/>
                <w:sz w:val="20"/>
                <w:szCs w:val="20"/>
                <w:color w:val="0000EE"/>
              </w:rPr>
              <w:t>13</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21"/>
          </w:tcPr>
          <w:p>
            <w:pPr>
              <w:ind w:left="20"/>
              <w:spacing w:after="0"/>
              <w:rPr>
                <w:sz w:val="20"/>
                <w:szCs w:val="20"/>
                <w:color w:val="auto"/>
              </w:rPr>
            </w:pPr>
            <w:r>
              <w:rPr>
                <w:rFonts w:ascii="Calibri" w:cs="Calibri" w:eastAsia="Calibri" w:hAnsi="Calibri"/>
                <w:sz w:val="20"/>
                <w:szCs w:val="20"/>
                <w:color w:val="0000EE"/>
              </w:rPr>
              <w:t>Opton Exercise Price</w:t>
            </w:r>
          </w:p>
        </w:tc>
        <w:tc>
          <w:tcPr>
            <w:tcW w:w="160" w:type="dxa"/>
            <w:vAlign w:val="bottom"/>
            <w:tcBorders>
              <w:top w:val="single" w:sz="8" w:color="0000EE"/>
            </w:tcBorders>
            <w:gridSpan w:val="4"/>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bottom w:val="single" w:sz="8" w:color="0000EE"/>
            </w:tcBorders>
            <w:gridSpan w:val="5"/>
          </w:tcPr>
          <w:p>
            <w:pPr>
              <w:ind w:left="20"/>
              <w:spacing w:after="0"/>
              <w:rPr>
                <w:sz w:val="20"/>
                <w:szCs w:val="20"/>
                <w:color w:val="auto"/>
              </w:rPr>
            </w:pPr>
            <w:r>
              <w:rPr>
                <w:rFonts w:ascii="Calibri" w:cs="Calibri" w:eastAsia="Calibri" w:hAnsi="Calibri"/>
                <w:sz w:val="20"/>
                <w:szCs w:val="20"/>
                <w:color w:val="0000EE"/>
              </w:rPr>
              <w:t>13</w:t>
            </w: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11"/>
          </w:tcPr>
          <w:p>
            <w:pPr>
              <w:ind w:left="20"/>
              <w:spacing w:after="0"/>
              <w:rPr>
                <w:sz w:val="20"/>
                <w:szCs w:val="20"/>
                <w:color w:val="auto"/>
              </w:rPr>
            </w:pPr>
            <w:r>
              <w:rPr>
                <w:rFonts w:ascii="Calibri" w:cs="Calibri" w:eastAsia="Calibri" w:hAnsi="Calibri"/>
                <w:sz w:val="20"/>
                <w:szCs w:val="20"/>
                <w:color w:val="0000EE"/>
              </w:rPr>
              <w:t>Opton Vestng</w:t>
            </w:r>
          </w:p>
        </w:tc>
        <w:tc>
          <w:tcPr>
            <w:tcW w:w="20" w:type="dxa"/>
            <w:vAlign w:val="bottom"/>
          </w:tcPr>
          <w:p>
            <w:pPr>
              <w:spacing w:after="0"/>
              <w:rPr>
                <w:sz w:val="24"/>
                <w:szCs w:val="24"/>
                <w:color w:val="auto"/>
              </w:rPr>
            </w:pPr>
          </w:p>
        </w:tc>
        <w:tc>
          <w:tcPr>
            <w:tcW w:w="840" w:type="dxa"/>
            <w:vAlign w:val="bottom"/>
            <w:gridSpan w:val="17"/>
          </w:tcPr>
          <w:p>
            <w:pPr>
              <w:jc w:val="right"/>
              <w:spacing w:after="0"/>
              <w:rPr>
                <w:sz w:val="20"/>
                <w:szCs w:val="20"/>
                <w:color w:val="auto"/>
              </w:rPr>
            </w:pPr>
            <w:r>
              <w:rPr>
                <w:rFonts w:ascii="Calibri" w:cs="Calibri" w:eastAsia="Calibri" w:hAnsi="Calibri"/>
                <w:sz w:val="20"/>
                <w:szCs w:val="20"/>
                <w:color w:val="0000EE"/>
              </w:rPr>
              <w:t>13</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6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36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tcBorders>
              <w:right w:val="single" w:sz="8" w:color="0000EE"/>
            </w:tcBorders>
            <w:gridSpan w:val="5"/>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900" w:type="dxa"/>
            <w:vAlign w:val="bottom"/>
            <w:gridSpan w:val="25"/>
          </w:tcPr>
          <w:p>
            <w:pPr>
              <w:ind w:left="20"/>
              <w:spacing w:after="0"/>
              <w:rPr>
                <w:sz w:val="20"/>
                <w:szCs w:val="20"/>
                <w:color w:val="auto"/>
              </w:rPr>
            </w:pPr>
            <w:r>
              <w:rPr>
                <w:rFonts w:ascii="Calibri" w:cs="Calibri" w:eastAsia="Calibri" w:hAnsi="Calibri"/>
                <w:sz w:val="20"/>
                <w:szCs w:val="20"/>
                <w:color w:val="0000EE"/>
              </w:rPr>
              <w:t>Manner of Exercise</w:t>
            </w:r>
          </w:p>
        </w:tc>
        <w:tc>
          <w:tcPr>
            <w:tcW w:w="540" w:type="dxa"/>
            <w:vAlign w:val="bottom"/>
            <w:gridSpan w:val="9"/>
          </w:tcPr>
          <w:p>
            <w:pPr>
              <w:jc w:val="right"/>
              <w:spacing w:after="0"/>
              <w:rPr>
                <w:sz w:val="20"/>
                <w:szCs w:val="20"/>
                <w:color w:val="auto"/>
              </w:rPr>
            </w:pPr>
            <w:r>
              <w:rPr>
                <w:rFonts w:ascii="Calibri" w:cs="Calibri" w:eastAsia="Calibri" w:hAnsi="Calibri"/>
                <w:sz w:val="20"/>
                <w:szCs w:val="20"/>
                <w:color w:val="0000EE"/>
              </w:rPr>
              <w:t>14</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Borders>
              <w:top w:val="single" w:sz="8" w:color="0000EE"/>
            </w:tcBorders>
            <w:gridSpan w:val="12"/>
          </w:tcPr>
          <w:p>
            <w:pPr>
              <w:ind w:left="20"/>
              <w:spacing w:after="0"/>
              <w:rPr>
                <w:sz w:val="20"/>
                <w:szCs w:val="20"/>
                <w:color w:val="auto"/>
              </w:rPr>
            </w:pPr>
            <w:r>
              <w:rPr>
                <w:rFonts w:ascii="Calibri" w:cs="Calibri" w:eastAsia="Calibri" w:hAnsi="Calibri"/>
                <w:sz w:val="20"/>
                <w:szCs w:val="20"/>
                <w:color w:val="0000EE"/>
              </w:rPr>
              <w:t>Partal Exercise</w:t>
            </w:r>
          </w:p>
        </w:tc>
        <w:tc>
          <w:tcPr>
            <w:tcW w:w="340" w:type="dxa"/>
            <w:vAlign w:val="bottom"/>
            <w:tcBorders>
              <w:top w:val="single" w:sz="8" w:color="0000EE"/>
            </w:tcBorders>
            <w:gridSpan w:val="6"/>
          </w:tcPr>
          <w:p>
            <w:pPr>
              <w:spacing w:after="0"/>
              <w:rPr>
                <w:sz w:val="24"/>
                <w:szCs w:val="24"/>
                <w:color w:val="auto"/>
              </w:rPr>
            </w:pPr>
          </w:p>
        </w:tc>
        <w:tc>
          <w:tcPr>
            <w:tcW w:w="500" w:type="dxa"/>
            <w:vAlign w:val="bottom"/>
            <w:gridSpan w:val="11"/>
          </w:tcPr>
          <w:p>
            <w:pPr>
              <w:jc w:val="right"/>
              <w:spacing w:after="0"/>
              <w:rPr>
                <w:sz w:val="20"/>
                <w:szCs w:val="20"/>
                <w:color w:val="auto"/>
              </w:rPr>
            </w:pPr>
            <w:r>
              <w:rPr>
                <w:rFonts w:ascii="Calibri" w:cs="Calibri" w:eastAsia="Calibri" w:hAnsi="Calibri"/>
                <w:sz w:val="20"/>
                <w:szCs w:val="20"/>
                <w:color w:val="0000EE"/>
              </w:rPr>
              <w:t>14</w:t>
            </w:r>
          </w:p>
        </w:tc>
        <w:tc>
          <w:tcPr>
            <w:tcW w:w="1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40" w:type="dxa"/>
            <w:vAlign w:val="bottom"/>
            <w:tcBorders>
              <w:top w:val="single" w:sz="8" w:color="0000EE"/>
            </w:tcBorders>
            <w:gridSpan w:val="12"/>
          </w:tcPr>
          <w:p>
            <w:pPr>
              <w:ind w:left="20"/>
              <w:spacing w:after="0"/>
              <w:rPr>
                <w:sz w:val="20"/>
                <w:szCs w:val="20"/>
                <w:color w:val="auto"/>
              </w:rPr>
            </w:pPr>
            <w:r>
              <w:rPr>
                <w:rFonts w:ascii="Calibri" w:cs="Calibri" w:eastAsia="Calibri" w:hAnsi="Calibri"/>
                <w:sz w:val="20"/>
                <w:szCs w:val="20"/>
                <w:color w:val="0000EE"/>
              </w:rPr>
              <w:t>Opton Term</w:t>
            </w:r>
          </w:p>
        </w:tc>
        <w:tc>
          <w:tcPr>
            <w:tcW w:w="660" w:type="dxa"/>
            <w:vAlign w:val="bottom"/>
            <w:gridSpan w:val="13"/>
          </w:tcPr>
          <w:p>
            <w:pPr>
              <w:jc w:val="right"/>
              <w:ind w:right="20"/>
              <w:spacing w:after="0"/>
              <w:rPr>
                <w:sz w:val="20"/>
                <w:szCs w:val="20"/>
                <w:color w:val="auto"/>
              </w:rPr>
            </w:pPr>
            <w:r>
              <w:rPr>
                <w:rFonts w:ascii="Calibri" w:cs="Calibri" w:eastAsia="Calibri" w:hAnsi="Calibri"/>
                <w:sz w:val="20"/>
                <w:szCs w:val="20"/>
                <w:color w:val="0000EE"/>
              </w:rPr>
              <w:t>14</w:t>
            </w: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72"/>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6"/>
          </w:tcPr>
          <w:p>
            <w:pPr>
              <w:jc w:val="center"/>
              <w:ind w:left="341"/>
              <w:spacing w:after="0"/>
              <w:rPr>
                <w:sz w:val="20"/>
                <w:szCs w:val="20"/>
                <w:color w:val="auto"/>
              </w:rPr>
            </w:pPr>
            <w:r>
              <w:rPr>
                <w:rFonts w:ascii="Times New Roman" w:cs="Times New Roman" w:eastAsia="Times New Roman" w:hAnsi="Times New Roman"/>
                <w:sz w:val="20"/>
                <w:szCs w:val="20"/>
                <w:color w:val="auto"/>
                <w:w w:val="99"/>
              </w:rPr>
              <w:t>2</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453"/>
        </w:trPr>
        <w:tc>
          <w:tcPr>
            <w:tcW w:w="6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r>
      <w:tr>
        <w:trPr>
          <w:trHeight w:val="20"/>
        </w:trPr>
        <w:tc>
          <w:tcPr>
            <w:tcW w:w="640" w:type="dxa"/>
            <w:vAlign w:val="bottom"/>
            <w:tcBorders>
              <w:bottom w:val="single" w:sz="8" w:color="EEEEEE"/>
            </w:tcBorders>
          </w:tcPr>
          <w:p>
            <w:pPr>
              <w:spacing w:after="0" w:line="20" w:lineRule="exact"/>
              <w:rPr>
                <w:sz w:val="1"/>
                <w:szCs w:val="1"/>
                <w:color w:val="auto"/>
              </w:rPr>
            </w:pPr>
          </w:p>
        </w:tc>
        <w:tc>
          <w:tcPr>
            <w:tcW w:w="6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34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-37465</wp:posOffset>
            </wp:positionV>
            <wp:extent cx="3365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-37465</wp:posOffset>
            </wp:positionV>
            <wp:extent cx="34290"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200"/>
          </w:cols>
          <w:pgMar w:left="1360" w:top="100" w:right="1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62"/>
        </w:trPr>
        <w:tc>
          <w:tcPr>
            <w:tcW w:w="6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680" w:type="dxa"/>
            <w:vAlign w:val="bottom"/>
            <w:gridSpan w:val="34"/>
          </w:tcPr>
          <w:p>
            <w:pPr>
              <w:jc w:val="center"/>
              <w:ind w:right="356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r>
      <w:tr>
        <w:trPr>
          <w:trHeight w:val="628"/>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80" w:type="dxa"/>
            <w:vAlign w:val="bottom"/>
            <w:gridSpan w:val="54"/>
          </w:tcPr>
          <w:p>
            <w:pPr>
              <w:ind w:left="20"/>
              <w:spacing w:after="0"/>
              <w:rPr>
                <w:sz w:val="20"/>
                <w:szCs w:val="20"/>
                <w:color w:val="auto"/>
              </w:rPr>
            </w:pPr>
            <w:r>
              <w:rPr>
                <w:rFonts w:ascii="Calibri" w:cs="Calibri" w:eastAsia="Calibri" w:hAnsi="Calibri"/>
                <w:sz w:val="20"/>
                <w:szCs w:val="20"/>
                <w:color w:val="0000EE"/>
              </w:rPr>
              <w:t>Qualifcaton of Incentve Stock Optons</w:t>
            </w:r>
          </w:p>
        </w:tc>
        <w:tc>
          <w:tcPr>
            <w:tcW w:w="320" w:type="dxa"/>
            <w:vAlign w:val="bottom"/>
            <w:gridSpan w:val="3"/>
          </w:tcPr>
          <w:p>
            <w:pPr>
              <w:jc w:val="right"/>
              <w:spacing w:after="0"/>
              <w:rPr>
                <w:sz w:val="20"/>
                <w:szCs w:val="20"/>
                <w:color w:val="auto"/>
              </w:rPr>
            </w:pPr>
            <w:r>
              <w:rPr>
                <w:rFonts w:ascii="Calibri" w:cs="Calibri" w:eastAsia="Calibri" w:hAnsi="Calibri"/>
                <w:sz w:val="20"/>
                <w:szCs w:val="20"/>
                <w:color w:val="0000EE"/>
              </w:rPr>
              <w:t>14</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tcBorders>
              <w:top w:val="single" w:sz="8" w:color="0000EE"/>
            </w:tcBorders>
            <w:gridSpan w:val="43"/>
          </w:tcPr>
          <w:p>
            <w:pPr>
              <w:ind w:left="20"/>
              <w:spacing w:after="0"/>
              <w:rPr>
                <w:sz w:val="20"/>
                <w:szCs w:val="20"/>
                <w:color w:val="auto"/>
              </w:rPr>
            </w:pPr>
            <w:r>
              <w:rPr>
                <w:rFonts w:ascii="Calibri" w:cs="Calibri" w:eastAsia="Calibri" w:hAnsi="Calibri"/>
                <w:sz w:val="20"/>
                <w:szCs w:val="20"/>
                <w:color w:val="0000EE"/>
              </w:rPr>
              <w:t>Notfcaton Regarding Dispositon</w:t>
            </w:r>
          </w:p>
        </w:tc>
        <w:tc>
          <w:tcPr>
            <w:tcW w:w="200" w:type="dxa"/>
            <w:vAlign w:val="bottom"/>
            <w:tcBorders>
              <w:top w:val="single" w:sz="8" w:color="0000EE"/>
            </w:tcBorders>
            <w:gridSpan w:val="4"/>
          </w:tcPr>
          <w:p>
            <w:pPr>
              <w:spacing w:after="0"/>
              <w:rPr>
                <w:sz w:val="24"/>
                <w:szCs w:val="24"/>
                <w:color w:val="auto"/>
              </w:rPr>
            </w:pPr>
          </w:p>
        </w:tc>
        <w:tc>
          <w:tcPr>
            <w:tcW w:w="440" w:type="dxa"/>
            <w:vAlign w:val="bottom"/>
            <w:gridSpan w:val="6"/>
          </w:tcPr>
          <w:p>
            <w:pPr>
              <w:jc w:val="right"/>
              <w:ind w:right="40"/>
              <w:spacing w:after="0"/>
              <w:rPr>
                <w:sz w:val="20"/>
                <w:szCs w:val="20"/>
                <w:color w:val="auto"/>
              </w:rPr>
            </w:pPr>
            <w:r>
              <w:rPr>
                <w:rFonts w:ascii="Calibri" w:cs="Calibri" w:eastAsia="Calibri" w:hAnsi="Calibri"/>
                <w:sz w:val="20"/>
                <w:szCs w:val="20"/>
                <w:color w:val="0000EE"/>
              </w:rPr>
              <w:t>15</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00" w:type="dxa"/>
            <w:vAlign w:val="bottom"/>
            <w:tcBorders>
              <w:top w:val="single" w:sz="8" w:color="0000EE"/>
              <w:bottom w:val="single" w:sz="8" w:color="0000EE"/>
            </w:tcBorders>
            <w:gridSpan w:val="11"/>
          </w:tcPr>
          <w:p>
            <w:pPr>
              <w:ind w:left="20"/>
              <w:spacing w:after="0"/>
              <w:rPr>
                <w:sz w:val="20"/>
                <w:szCs w:val="20"/>
                <w:color w:val="auto"/>
              </w:rPr>
            </w:pPr>
            <w:r>
              <w:rPr>
                <w:rFonts w:ascii="Calibri" w:cs="Calibri" w:eastAsia="Calibri" w:hAnsi="Calibri"/>
                <w:sz w:val="20"/>
                <w:szCs w:val="20"/>
                <w:color w:val="0000EE"/>
              </w:rPr>
              <w:t>Substtute Awards</w:t>
            </w:r>
          </w:p>
        </w:tc>
        <w:tc>
          <w:tcPr>
            <w:tcW w:w="220" w:type="dxa"/>
            <w:vAlign w:val="bottom"/>
            <w:tcBorders>
              <w:top w:val="single" w:sz="8" w:color="0000EE"/>
            </w:tcBorders>
            <w:gridSpan w:val="5"/>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gridSpan w:val="5"/>
          </w:tcPr>
          <w:p>
            <w:pPr>
              <w:spacing w:after="0"/>
              <w:rPr>
                <w:sz w:val="24"/>
                <w:szCs w:val="24"/>
                <w:color w:val="auto"/>
              </w:rPr>
            </w:pPr>
          </w:p>
        </w:tc>
        <w:tc>
          <w:tcPr>
            <w:tcW w:w="220" w:type="dxa"/>
            <w:vAlign w:val="bottom"/>
            <w:tcBorders>
              <w:top w:val="single" w:sz="8" w:color="0000EE"/>
              <w:bottom w:val="single" w:sz="8" w:color="0000EE"/>
            </w:tcBorders>
            <w:gridSpan w:val="4"/>
          </w:tcPr>
          <w:p>
            <w:pPr>
              <w:jc w:val="right"/>
              <w:spacing w:after="0"/>
              <w:rPr>
                <w:sz w:val="20"/>
                <w:szCs w:val="20"/>
                <w:color w:val="auto"/>
              </w:rPr>
            </w:pPr>
            <w:r>
              <w:rPr>
                <w:rFonts w:ascii="Calibri" w:cs="Calibri" w:eastAsia="Calibri" w:hAnsi="Calibri"/>
                <w:sz w:val="20"/>
                <w:szCs w:val="20"/>
                <w:color w:val="0000EE"/>
                <w:w w:val="98"/>
              </w:rPr>
              <w:t>15</w:t>
            </w: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gridSpan w:val="43"/>
          </w:tcPr>
          <w:p>
            <w:pPr>
              <w:ind w:left="20"/>
              <w:spacing w:after="0"/>
              <w:rPr>
                <w:sz w:val="20"/>
                <w:szCs w:val="20"/>
                <w:color w:val="auto"/>
              </w:rPr>
            </w:pPr>
            <w:r>
              <w:rPr>
                <w:rFonts w:ascii="Calibri" w:cs="Calibri" w:eastAsia="Calibri" w:hAnsi="Calibri"/>
                <w:sz w:val="20"/>
                <w:szCs w:val="20"/>
                <w:color w:val="0000EE"/>
              </w:rPr>
              <w:t>Modifcaton, Extension or Renewal</w:t>
            </w:r>
          </w:p>
        </w:tc>
        <w:tc>
          <w:tcPr>
            <w:tcW w:w="740" w:type="dxa"/>
            <w:vAlign w:val="bottom"/>
            <w:gridSpan w:val="11"/>
          </w:tcPr>
          <w:p>
            <w:pPr>
              <w:jc w:val="right"/>
              <w:ind w:right="20"/>
              <w:spacing w:after="0"/>
              <w:rPr>
                <w:sz w:val="20"/>
                <w:szCs w:val="20"/>
                <w:color w:val="auto"/>
              </w:rPr>
            </w:pPr>
            <w:r>
              <w:rPr>
                <w:rFonts w:ascii="Calibri" w:cs="Calibri" w:eastAsia="Calibri" w:hAnsi="Calibri"/>
                <w:sz w:val="20"/>
                <w:szCs w:val="20"/>
                <w:color w:val="0000EE"/>
              </w:rPr>
              <w:t>15</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60" w:type="dxa"/>
            <w:vAlign w:val="bottom"/>
            <w:tcBorders>
              <w:top w:val="single" w:sz="8" w:color="0000EE"/>
              <w:bottom w:val="single" w:sz="8" w:color="0000EE"/>
            </w:tcBorders>
            <w:gridSpan w:val="13"/>
          </w:tcPr>
          <w:p>
            <w:pPr>
              <w:ind w:left="20"/>
              <w:spacing w:after="0"/>
              <w:rPr>
                <w:sz w:val="20"/>
                <w:szCs w:val="20"/>
                <w:color w:val="auto"/>
              </w:rPr>
            </w:pPr>
            <w:r>
              <w:rPr>
                <w:rFonts w:ascii="Calibri" w:cs="Calibri" w:eastAsia="Calibri" w:hAnsi="Calibri"/>
                <w:sz w:val="20"/>
                <w:szCs w:val="20"/>
                <w:color w:val="0000EE"/>
              </w:rPr>
              <w:t>No Disqualifcaton</w:t>
            </w:r>
          </w:p>
        </w:tc>
        <w:tc>
          <w:tcPr>
            <w:tcW w:w="160" w:type="dxa"/>
            <w:vAlign w:val="bottom"/>
            <w:tcBorders>
              <w:top w:val="single" w:sz="8" w:color="0000EE"/>
            </w:tcBorders>
            <w:gridSpan w:val="3"/>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gridSpan w:val="7"/>
          </w:tcPr>
          <w:p>
            <w:pPr>
              <w:spacing w:after="0"/>
              <w:rPr>
                <w:sz w:val="24"/>
                <w:szCs w:val="24"/>
                <w:color w:val="auto"/>
              </w:rPr>
            </w:pPr>
          </w:p>
        </w:tc>
        <w:tc>
          <w:tcPr>
            <w:tcW w:w="180" w:type="dxa"/>
            <w:vAlign w:val="bottom"/>
            <w:tcBorders>
              <w:top w:val="single" w:sz="8" w:color="0000EE"/>
              <w:bottom w:val="single" w:sz="8" w:color="0000EE"/>
            </w:tcBorders>
            <w:gridSpan w:val="4"/>
          </w:tcPr>
          <w:p>
            <w:pPr>
              <w:jc w:val="right"/>
              <w:ind w:right="20"/>
              <w:spacing w:after="0"/>
              <w:rPr>
                <w:sz w:val="20"/>
                <w:szCs w:val="20"/>
                <w:color w:val="auto"/>
              </w:rPr>
            </w:pPr>
            <w:r>
              <w:rPr>
                <w:rFonts w:ascii="Calibri" w:cs="Calibri" w:eastAsia="Calibri" w:hAnsi="Calibri"/>
                <w:sz w:val="19"/>
                <w:szCs w:val="19"/>
                <w:color w:val="0000EE"/>
                <w:w w:val="72"/>
              </w:rPr>
              <w:t>15</w:t>
            </w: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1600" w:type="dxa"/>
            <w:vAlign w:val="bottom"/>
            <w:gridSpan w:val="5"/>
          </w:tcPr>
          <w:p>
            <w:pPr>
              <w:spacing w:after="0"/>
              <w:rPr>
                <w:sz w:val="20"/>
                <w:szCs w:val="20"/>
                <w:color w:val="auto"/>
              </w:rPr>
            </w:pPr>
            <w:r>
              <w:rPr>
                <w:rFonts w:ascii="Calibri" w:cs="Calibri" w:eastAsia="Calibri" w:hAnsi="Calibri"/>
                <w:sz w:val="20"/>
                <w:szCs w:val="20"/>
                <w:color w:val="0000EE"/>
              </w:rPr>
              <w:t>RESTRICTED STOCK</w:t>
            </w:r>
          </w:p>
        </w:tc>
        <w:tc>
          <w:tcPr>
            <w:tcW w:w="820" w:type="dxa"/>
            <w:vAlign w:val="bottom"/>
            <w:gridSpan w:val="13"/>
          </w:tcPr>
          <w:p>
            <w:pPr>
              <w:jc w:val="right"/>
              <w:spacing w:after="0"/>
              <w:rPr>
                <w:sz w:val="20"/>
                <w:szCs w:val="20"/>
                <w:color w:val="auto"/>
              </w:rPr>
            </w:pPr>
            <w:r>
              <w:rPr>
                <w:rFonts w:ascii="Calibri" w:cs="Calibri" w:eastAsia="Calibri" w:hAnsi="Calibri"/>
                <w:sz w:val="20"/>
                <w:szCs w:val="20"/>
                <w:color w:val="0000EE"/>
              </w:rPr>
              <w:t>15</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Borders>
              <w:right w:val="single" w:sz="8" w:color="0000EE"/>
            </w:tcBorders>
            <w:gridSpan w:val="2"/>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20" w:type="dxa"/>
            <w:vAlign w:val="bottom"/>
            <w:tcBorders>
              <w:bottom w:val="single" w:sz="8" w:color="0000EE"/>
            </w:tcBorders>
            <w:gridSpan w:val="24"/>
          </w:tcPr>
          <w:p>
            <w:pPr>
              <w:ind w:left="20"/>
              <w:spacing w:after="0"/>
              <w:rPr>
                <w:sz w:val="20"/>
                <w:szCs w:val="20"/>
                <w:color w:val="auto"/>
              </w:rPr>
            </w:pPr>
            <w:r>
              <w:rPr>
                <w:rFonts w:ascii="Calibri" w:cs="Calibri" w:eastAsia="Calibri" w:hAnsi="Calibri"/>
                <w:sz w:val="20"/>
                <w:szCs w:val="20"/>
                <w:color w:val="0000EE"/>
                <w:w w:val="99"/>
              </w:rPr>
              <w:t>Award of Restricted Stock</w:t>
            </w:r>
          </w:p>
        </w:tc>
        <w:tc>
          <w:tcPr>
            <w:tcW w:w="580" w:type="dxa"/>
            <w:vAlign w:val="bottom"/>
            <w:gridSpan w:val="13"/>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0000EE"/>
            </w:tcBorders>
            <w:gridSpan w:val="4"/>
          </w:tcPr>
          <w:p>
            <w:pPr>
              <w:jc w:val="right"/>
              <w:ind w:right="20"/>
              <w:spacing w:after="0"/>
              <w:rPr>
                <w:sz w:val="20"/>
                <w:szCs w:val="20"/>
                <w:color w:val="auto"/>
              </w:rPr>
            </w:pPr>
            <w:r>
              <w:rPr>
                <w:rFonts w:ascii="Calibri" w:cs="Calibri" w:eastAsia="Calibri" w:hAnsi="Calibri"/>
                <w:sz w:val="20"/>
                <w:szCs w:val="20"/>
                <w:color w:val="0000EE"/>
                <w:w w:val="88"/>
              </w:rPr>
              <w:t>15</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gridSpan w:val="20"/>
          </w:tcPr>
          <w:p>
            <w:pPr>
              <w:ind w:left="20"/>
              <w:spacing w:after="0"/>
              <w:rPr>
                <w:sz w:val="20"/>
                <w:szCs w:val="20"/>
                <w:color w:val="auto"/>
              </w:rPr>
            </w:pPr>
            <w:r>
              <w:rPr>
                <w:rFonts w:ascii="Calibri" w:cs="Calibri" w:eastAsia="Calibri" w:hAnsi="Calibri"/>
                <w:sz w:val="20"/>
                <w:szCs w:val="20"/>
                <w:color w:val="0000EE"/>
              </w:rPr>
              <w:t>Rights as Stockholders</w:t>
            </w:r>
          </w:p>
        </w:tc>
        <w:tc>
          <w:tcPr>
            <w:tcW w:w="840" w:type="dxa"/>
            <w:vAlign w:val="bottom"/>
            <w:gridSpan w:val="17"/>
          </w:tcPr>
          <w:p>
            <w:pPr>
              <w:jc w:val="right"/>
              <w:ind w:right="20"/>
              <w:spacing w:after="0"/>
              <w:rPr>
                <w:sz w:val="20"/>
                <w:szCs w:val="20"/>
                <w:color w:val="auto"/>
              </w:rPr>
            </w:pPr>
            <w:r>
              <w:rPr>
                <w:rFonts w:ascii="Calibri" w:cs="Calibri" w:eastAsia="Calibri" w:hAnsi="Calibri"/>
                <w:sz w:val="20"/>
                <w:szCs w:val="20"/>
                <w:color w:val="0000EE"/>
              </w:rPr>
              <w:t>15</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tcBorders>
              <w:top w:val="single" w:sz="8" w:color="0000EE"/>
            </w:tcBorders>
            <w:gridSpan w:val="4"/>
          </w:tcPr>
          <w:p>
            <w:pPr>
              <w:ind w:left="20"/>
              <w:spacing w:after="0"/>
              <w:rPr>
                <w:sz w:val="20"/>
                <w:szCs w:val="20"/>
                <w:color w:val="auto"/>
              </w:rPr>
            </w:pPr>
            <w:r>
              <w:rPr>
                <w:rFonts w:ascii="Calibri" w:cs="Calibri" w:eastAsia="Calibri" w:hAnsi="Calibri"/>
                <w:sz w:val="20"/>
                <w:szCs w:val="20"/>
                <w:color w:val="0000EE"/>
              </w:rPr>
              <w:t>Restrictons</w:t>
            </w:r>
          </w:p>
        </w:tc>
        <w:tc>
          <w:tcPr>
            <w:tcW w:w="860" w:type="dxa"/>
            <w:vAlign w:val="bottom"/>
            <w:tcBorders>
              <w:top w:val="single" w:sz="8" w:color="0000EE"/>
            </w:tcBorders>
            <w:gridSpan w:val="14"/>
          </w:tcPr>
          <w:p>
            <w:pPr>
              <w:jc w:val="right"/>
              <w:spacing w:after="0"/>
              <w:rPr>
                <w:sz w:val="20"/>
                <w:szCs w:val="20"/>
                <w:color w:val="auto"/>
              </w:rPr>
            </w:pPr>
            <w:r>
              <w:rPr>
                <w:rFonts w:ascii="Calibri" w:cs="Calibri" w:eastAsia="Calibri" w:hAnsi="Calibri"/>
                <w:sz w:val="20"/>
                <w:szCs w:val="20"/>
                <w:color w:val="0000EE"/>
              </w:rPr>
              <w:t>16</w:t>
            </w: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3060" w:type="dxa"/>
            <w:vAlign w:val="bottom"/>
            <w:tcBorders>
              <w:right w:val="single" w:sz="8" w:color="0000EE"/>
            </w:tcBorders>
            <w:gridSpan w:val="19"/>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6100" w:type="dxa"/>
            <w:vAlign w:val="bottom"/>
            <w:gridSpan w:val="43"/>
          </w:tcPr>
          <w:p>
            <w:pPr>
              <w:spacing w:after="0" w:line="20" w:lineRule="exact"/>
              <w:rPr>
                <w:sz w:val="1"/>
                <w:szCs w:val="1"/>
                <w:color w:val="auto"/>
              </w:rPr>
            </w:pPr>
          </w:p>
        </w:tc>
      </w:tr>
      <w:tr>
        <w:trPr>
          <w:trHeight w:val="344"/>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Borders>
              <w:bottom w:val="single" w:sz="8" w:color="0000EE"/>
            </w:tcBorders>
            <w:gridSpan w:val="6"/>
          </w:tcPr>
          <w:p>
            <w:pPr>
              <w:ind w:left="20"/>
              <w:spacing w:after="0"/>
              <w:rPr>
                <w:sz w:val="20"/>
                <w:szCs w:val="20"/>
                <w:color w:val="auto"/>
              </w:rPr>
            </w:pPr>
            <w:r>
              <w:rPr>
                <w:rFonts w:ascii="Calibri" w:cs="Calibri" w:eastAsia="Calibri" w:hAnsi="Calibri"/>
                <w:sz w:val="20"/>
                <w:szCs w:val="20"/>
                <w:color w:val="0000EE"/>
              </w:rPr>
              <w:t>Share Vestng</w:t>
            </w:r>
          </w:p>
        </w:tc>
        <w:tc>
          <w:tcPr>
            <w:tcW w:w="600" w:type="dxa"/>
            <w:vAlign w:val="bottom"/>
            <w:gridSpan w:val="10"/>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Borders>
              <w:bottom w:val="single" w:sz="8" w:color="0000EE"/>
            </w:tcBorders>
            <w:gridSpan w:val="5"/>
          </w:tcPr>
          <w:p>
            <w:pPr>
              <w:jc w:val="right"/>
              <w:ind w:right="20"/>
              <w:spacing w:after="0"/>
              <w:rPr>
                <w:sz w:val="20"/>
                <w:szCs w:val="20"/>
                <w:color w:val="auto"/>
              </w:rPr>
            </w:pPr>
            <w:r>
              <w:rPr>
                <w:rFonts w:ascii="Calibri" w:cs="Calibri" w:eastAsia="Calibri" w:hAnsi="Calibri"/>
                <w:sz w:val="20"/>
                <w:szCs w:val="20"/>
                <w:color w:val="0000EE"/>
                <w:w w:val="78"/>
              </w:rPr>
              <w:t>16</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80" w:type="dxa"/>
            <w:vAlign w:val="bottom"/>
            <w:gridSpan w:val="54"/>
          </w:tcPr>
          <w:p>
            <w:pPr>
              <w:ind w:left="20"/>
              <w:spacing w:after="0"/>
              <w:rPr>
                <w:sz w:val="20"/>
                <w:szCs w:val="20"/>
                <w:color w:val="auto"/>
              </w:rPr>
            </w:pPr>
            <w:r>
              <w:rPr>
                <w:rFonts w:ascii="Calibri" w:cs="Calibri" w:eastAsia="Calibri" w:hAnsi="Calibri"/>
                <w:sz w:val="20"/>
                <w:szCs w:val="20"/>
                <w:color w:val="0000EE"/>
              </w:rPr>
              <w:t>Repurchase or Forfeiture of Restricted Stock</w:t>
            </w:r>
          </w:p>
        </w:tc>
        <w:tc>
          <w:tcPr>
            <w:tcW w:w="700" w:type="dxa"/>
            <w:vAlign w:val="bottom"/>
            <w:gridSpan w:val="6"/>
          </w:tcPr>
          <w:p>
            <w:pPr>
              <w:jc w:val="right"/>
              <w:spacing w:after="0"/>
              <w:rPr>
                <w:sz w:val="20"/>
                <w:szCs w:val="20"/>
                <w:color w:val="auto"/>
              </w:rPr>
            </w:pPr>
            <w:r>
              <w:rPr>
                <w:rFonts w:ascii="Calibri" w:cs="Calibri" w:eastAsia="Calibri" w:hAnsi="Calibri"/>
                <w:sz w:val="20"/>
                <w:szCs w:val="20"/>
                <w:color w:val="0000EE"/>
              </w:rPr>
              <w:t>16</w:t>
            </w: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580" w:type="dxa"/>
            <w:vAlign w:val="bottom"/>
            <w:tcBorders>
              <w:top w:val="single" w:sz="8" w:color="0000EE"/>
              <w:bottom w:val="single" w:sz="8" w:color="0000EE"/>
            </w:tcBorders>
            <w:gridSpan w:val="36"/>
          </w:tcPr>
          <w:p>
            <w:pPr>
              <w:ind w:left="20"/>
              <w:spacing w:after="0"/>
              <w:rPr>
                <w:sz w:val="20"/>
                <w:szCs w:val="20"/>
                <w:color w:val="auto"/>
              </w:rPr>
            </w:pPr>
            <w:r>
              <w:rPr>
                <w:rFonts w:ascii="Calibri" w:cs="Calibri" w:eastAsia="Calibri" w:hAnsi="Calibri"/>
                <w:sz w:val="20"/>
                <w:szCs w:val="20"/>
                <w:color w:val="0000EE"/>
              </w:rPr>
              <w:t>Certfcates for Restricted Stock</w:t>
            </w: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gridSpan w:val="3"/>
          </w:tcPr>
          <w:p>
            <w:pPr>
              <w:spacing w:after="0"/>
              <w:rPr>
                <w:sz w:val="24"/>
                <w:szCs w:val="24"/>
                <w:color w:val="auto"/>
              </w:rPr>
            </w:pPr>
          </w:p>
        </w:tc>
        <w:tc>
          <w:tcPr>
            <w:tcW w:w="220" w:type="dxa"/>
            <w:vAlign w:val="bottom"/>
            <w:tcBorders>
              <w:top w:val="single" w:sz="8" w:color="0000EE"/>
              <w:bottom w:val="single" w:sz="8" w:color="0000EE"/>
            </w:tcBorders>
            <w:gridSpan w:val="6"/>
          </w:tcPr>
          <w:p>
            <w:pPr>
              <w:jc w:val="center"/>
              <w:ind w:right="20"/>
              <w:spacing w:after="0"/>
              <w:rPr>
                <w:sz w:val="20"/>
                <w:szCs w:val="20"/>
                <w:color w:val="auto"/>
              </w:rPr>
            </w:pPr>
            <w:r>
              <w:rPr>
                <w:rFonts w:ascii="Calibri" w:cs="Calibri" w:eastAsia="Calibri" w:hAnsi="Calibri"/>
                <w:sz w:val="20"/>
                <w:szCs w:val="20"/>
                <w:color w:val="0000EE"/>
                <w:w w:val="98"/>
              </w:rPr>
              <w:t>16</w:t>
            </w: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20" w:type="dxa"/>
            <w:vAlign w:val="bottom"/>
            <w:tcBorders>
              <w:bottom w:val="single" w:sz="8" w:color="0000EE"/>
            </w:tcBorders>
            <w:gridSpan w:val="18"/>
          </w:tcPr>
          <w:p>
            <w:pPr>
              <w:ind w:left="20"/>
              <w:spacing w:after="0"/>
              <w:rPr>
                <w:sz w:val="20"/>
                <w:szCs w:val="20"/>
                <w:color w:val="auto"/>
              </w:rPr>
            </w:pPr>
            <w:r>
              <w:rPr>
                <w:rFonts w:ascii="Calibri" w:cs="Calibri" w:eastAsia="Calibri" w:hAnsi="Calibri"/>
                <w:sz w:val="20"/>
                <w:szCs w:val="20"/>
                <w:color w:val="0000EE"/>
              </w:rPr>
              <w:t>Secton 83(b) Electon</w:t>
            </w:r>
          </w:p>
        </w:tc>
        <w:tc>
          <w:tcPr>
            <w:tcW w:w="40" w:type="dxa"/>
            <w:vAlign w:val="bottom"/>
            <w:gridSpan w:val="2"/>
          </w:tcPr>
          <w:p>
            <w:pPr>
              <w:spacing w:after="0"/>
              <w:rPr>
                <w:sz w:val="24"/>
                <w:szCs w:val="24"/>
                <w:color w:val="auto"/>
              </w:rPr>
            </w:pPr>
          </w:p>
        </w:tc>
        <w:tc>
          <w:tcPr>
            <w:tcW w:w="580" w:type="dxa"/>
            <w:vAlign w:val="bottom"/>
            <w:gridSpan w:val="12"/>
          </w:tcPr>
          <w:p>
            <w:pPr>
              <w:spacing w:after="0"/>
              <w:rPr>
                <w:sz w:val="24"/>
                <w:szCs w:val="24"/>
                <w:color w:val="auto"/>
              </w:rPr>
            </w:pPr>
          </w:p>
        </w:tc>
        <w:tc>
          <w:tcPr>
            <w:tcW w:w="260" w:type="dxa"/>
            <w:vAlign w:val="bottom"/>
            <w:tcBorders>
              <w:bottom w:val="single" w:sz="8" w:color="0000EE"/>
            </w:tcBorders>
            <w:gridSpan w:val="5"/>
          </w:tcPr>
          <w:p>
            <w:pPr>
              <w:jc w:val="right"/>
              <w:ind w:right="40"/>
              <w:spacing w:after="0"/>
              <w:rPr>
                <w:sz w:val="20"/>
                <w:szCs w:val="20"/>
                <w:color w:val="auto"/>
              </w:rPr>
            </w:pPr>
            <w:r>
              <w:rPr>
                <w:rFonts w:ascii="Calibri" w:cs="Calibri" w:eastAsia="Calibri" w:hAnsi="Calibri"/>
                <w:sz w:val="20"/>
                <w:szCs w:val="20"/>
                <w:color w:val="0000EE"/>
                <w:w w:val="98"/>
              </w:rPr>
              <w:t>16</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2120" w:type="dxa"/>
            <w:vAlign w:val="bottom"/>
            <w:tcBorders>
              <w:bottom w:val="single" w:sz="8" w:color="0000EE"/>
            </w:tcBorders>
            <w:gridSpan w:val="11"/>
          </w:tcPr>
          <w:p>
            <w:pPr>
              <w:spacing w:after="0"/>
              <w:rPr>
                <w:sz w:val="20"/>
                <w:szCs w:val="20"/>
                <w:color w:val="auto"/>
              </w:rPr>
            </w:pPr>
            <w:r>
              <w:rPr>
                <w:rFonts w:ascii="Calibri" w:cs="Calibri" w:eastAsia="Calibri" w:hAnsi="Calibri"/>
                <w:sz w:val="20"/>
                <w:szCs w:val="20"/>
                <w:color w:val="0000EE"/>
              </w:rPr>
              <w:t>RESTRICTED STOCK UNITS</w:t>
            </w:r>
          </w:p>
        </w:tc>
        <w:tc>
          <w:tcPr>
            <w:tcW w:w="240" w:type="dxa"/>
            <w:vAlign w:val="bottom"/>
            <w:gridSpan w:val="6"/>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gridSpan w:val="4"/>
          </w:tcPr>
          <w:p>
            <w:pPr>
              <w:spacing w:after="0"/>
              <w:rPr>
                <w:sz w:val="24"/>
                <w:szCs w:val="24"/>
                <w:color w:val="auto"/>
              </w:rPr>
            </w:pPr>
          </w:p>
        </w:tc>
        <w:tc>
          <w:tcPr>
            <w:tcW w:w="220" w:type="dxa"/>
            <w:vAlign w:val="bottom"/>
            <w:tcBorders>
              <w:bottom w:val="single" w:sz="8" w:color="0000EE"/>
            </w:tcBorders>
            <w:gridSpan w:val="4"/>
          </w:tcPr>
          <w:p>
            <w:pPr>
              <w:jc w:val="right"/>
              <w:spacing w:after="0"/>
              <w:rPr>
                <w:sz w:val="20"/>
                <w:szCs w:val="20"/>
                <w:color w:val="auto"/>
              </w:rPr>
            </w:pPr>
            <w:r>
              <w:rPr>
                <w:rFonts w:ascii="Calibri" w:cs="Calibri" w:eastAsia="Calibri" w:hAnsi="Calibri"/>
                <w:sz w:val="20"/>
                <w:szCs w:val="20"/>
                <w:color w:val="0000EE"/>
                <w:w w:val="88"/>
              </w:rPr>
              <w:t>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gridSpan w:val="37"/>
          </w:tcPr>
          <w:p>
            <w:pPr>
              <w:ind w:left="20"/>
              <w:spacing w:after="0"/>
              <w:rPr>
                <w:sz w:val="20"/>
                <w:szCs w:val="20"/>
                <w:color w:val="auto"/>
              </w:rPr>
            </w:pPr>
            <w:r>
              <w:rPr>
                <w:rFonts w:ascii="Calibri" w:cs="Calibri" w:eastAsia="Calibri" w:hAnsi="Calibri"/>
                <w:sz w:val="20"/>
                <w:szCs w:val="20"/>
                <w:color w:val="0000EE"/>
              </w:rPr>
              <w:t>Grant of Restricted Stock Units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gridSpan w:val="8"/>
          </w:tcPr>
          <w:p>
            <w:pPr>
              <w:jc w:val="right"/>
              <w:spacing w:after="0"/>
              <w:rPr>
                <w:sz w:val="20"/>
                <w:szCs w:val="20"/>
                <w:color w:val="auto"/>
              </w:rPr>
            </w:pPr>
            <w:r>
              <w:rPr>
                <w:rFonts w:ascii="Calibri" w:cs="Calibri" w:eastAsia="Calibri" w:hAnsi="Calibri"/>
                <w:sz w:val="20"/>
                <w:szCs w:val="20"/>
                <w:color w:val="0000EE"/>
              </w:rPr>
              <w:t>16</w:t>
            </w: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45"/>
        </w:trPr>
        <w:tc>
          <w:tcPr>
            <w:tcW w:w="1280" w:type="dxa"/>
            <w:vAlign w:val="bottom"/>
            <w:gridSpan w:val="2"/>
          </w:tcPr>
          <w:p>
            <w:pPr>
              <w:spacing w:after="0"/>
              <w:rPr>
                <w:sz w:val="24"/>
                <w:szCs w:val="24"/>
                <w:color w:val="auto"/>
              </w:rPr>
            </w:pPr>
          </w:p>
        </w:tc>
        <w:tc>
          <w:tcPr>
            <w:tcW w:w="960" w:type="dxa"/>
            <w:vAlign w:val="bottom"/>
            <w:tcBorders>
              <w:top w:val="single" w:sz="8" w:color="0000EE"/>
            </w:tcBorders>
            <w:gridSpan w:val="4"/>
          </w:tcPr>
          <w:p>
            <w:pPr>
              <w:ind w:left="20"/>
              <w:spacing w:after="0"/>
              <w:rPr>
                <w:sz w:val="20"/>
                <w:szCs w:val="20"/>
                <w:color w:val="auto"/>
              </w:rPr>
            </w:pPr>
            <w:r>
              <w:rPr>
                <w:rFonts w:ascii="Calibri" w:cs="Calibri" w:eastAsia="Calibri" w:hAnsi="Calibri"/>
                <w:sz w:val="20"/>
                <w:szCs w:val="20"/>
                <w:color w:val="0000EE"/>
              </w:rPr>
              <w:t>Term</w:t>
            </w:r>
          </w:p>
        </w:tc>
        <w:tc>
          <w:tcPr>
            <w:tcW w:w="1560" w:type="dxa"/>
            <w:vAlign w:val="bottom"/>
            <w:tcBorders>
              <w:top w:val="single" w:sz="8" w:color="0000EE"/>
            </w:tcBorders>
            <w:gridSpan w:val="31"/>
          </w:tcPr>
          <w:p>
            <w:pPr>
              <w:jc w:val="right"/>
              <w:ind w:right="1240"/>
              <w:spacing w:after="0"/>
              <w:rPr>
                <w:sz w:val="20"/>
                <w:szCs w:val="20"/>
                <w:color w:val="auto"/>
              </w:rPr>
            </w:pPr>
            <w:r>
              <w:rPr>
                <w:rFonts w:ascii="Calibri" w:cs="Calibri" w:eastAsia="Calibri" w:hAnsi="Calibri"/>
                <w:sz w:val="20"/>
                <w:szCs w:val="20"/>
                <w:color w:val="0000EE"/>
              </w:rPr>
              <w:t>17</w:t>
            </w:r>
          </w:p>
        </w:tc>
        <w:tc>
          <w:tcPr>
            <w:tcW w:w="660" w:type="dxa"/>
            <w:vAlign w:val="bottom"/>
            <w:gridSpan w:val="10"/>
          </w:tcPr>
          <w:p>
            <w:pPr>
              <w:spacing w:after="0"/>
              <w:rPr>
                <w:sz w:val="24"/>
                <w:szCs w:val="24"/>
                <w:color w:val="auto"/>
              </w:rPr>
            </w:pPr>
          </w:p>
        </w:tc>
        <w:tc>
          <w:tcPr>
            <w:tcW w:w="200" w:type="dxa"/>
            <w:vAlign w:val="bottom"/>
            <w:tcBorders>
              <w:top w:val="single" w:sz="8" w:color="0000EE"/>
            </w:tcBorders>
            <w:gridSpan w:val="6"/>
          </w:tcPr>
          <w:p>
            <w:pPr>
              <w:spacing w:after="0"/>
              <w:rPr>
                <w:sz w:val="24"/>
                <w:szCs w:val="24"/>
                <w:color w:val="auto"/>
              </w:rPr>
            </w:pPr>
          </w:p>
        </w:tc>
        <w:tc>
          <w:tcPr>
            <w:tcW w:w="4540" w:type="dxa"/>
            <w:vAlign w:val="bottom"/>
            <w:gridSpan w:val="10"/>
          </w:tcPr>
          <w:p>
            <w:pPr>
              <w:spacing w:after="0"/>
              <w:rPr>
                <w:sz w:val="24"/>
                <w:szCs w:val="24"/>
                <w:color w:val="auto"/>
              </w:rPr>
            </w:pPr>
          </w:p>
        </w:tc>
      </w:tr>
      <w:tr>
        <w:trPr>
          <w:trHeight w:val="20"/>
        </w:trPr>
        <w:tc>
          <w:tcPr>
            <w:tcW w:w="2500" w:type="dxa"/>
            <w:vAlign w:val="bottom"/>
            <w:gridSpan w:val="9"/>
          </w:tcPr>
          <w:p>
            <w:pPr>
              <w:spacing w:after="0" w:line="20" w:lineRule="exact"/>
              <w:rPr>
                <w:sz w:val="1"/>
                <w:szCs w:val="1"/>
                <w:color w:val="auto"/>
              </w:rPr>
            </w:pPr>
          </w:p>
        </w:tc>
        <w:tc>
          <w:tcPr>
            <w:tcW w:w="6700" w:type="dxa"/>
            <w:vAlign w:val="bottom"/>
            <w:tcBorders>
              <w:left w:val="single" w:sz="8" w:color="0000EE"/>
            </w:tcBorders>
            <w:gridSpan w:val="54"/>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7"/>
          </w:tcPr>
          <w:p>
            <w:pPr>
              <w:ind w:left="20"/>
              <w:spacing w:after="0"/>
              <w:rPr>
                <w:sz w:val="20"/>
                <w:szCs w:val="20"/>
                <w:color w:val="auto"/>
              </w:rPr>
            </w:pPr>
            <w:r>
              <w:rPr>
                <w:rFonts w:ascii="Calibri" w:cs="Calibri" w:eastAsia="Calibri" w:hAnsi="Calibri"/>
                <w:sz w:val="20"/>
                <w:szCs w:val="20"/>
                <w:color w:val="0000EE"/>
                <w:w w:val="97"/>
              </w:rPr>
              <w:t>Purchase Price</w:t>
            </w:r>
          </w:p>
        </w:tc>
        <w:tc>
          <w:tcPr>
            <w:tcW w:w="50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Calibri" w:cs="Calibri" w:eastAsia="Calibri" w:hAnsi="Calibri"/>
                <w:sz w:val="20"/>
                <w:szCs w:val="20"/>
                <w:color w:val="0000EE"/>
                <w:w w:val="88"/>
              </w:rPr>
              <w:t>17</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right w:val="single" w:sz="8" w:color="0000EE"/>
            </w:tcBorders>
            <w:gridSpan w:val="5"/>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tcBorders>
              <w:bottom w:val="single" w:sz="8" w:color="0000EE"/>
            </w:tcBorders>
            <w:gridSpan w:val="37"/>
          </w:tcPr>
          <w:p>
            <w:pPr>
              <w:ind w:left="20"/>
              <w:spacing w:after="0"/>
              <w:rPr>
                <w:sz w:val="20"/>
                <w:szCs w:val="20"/>
                <w:color w:val="auto"/>
              </w:rPr>
            </w:pPr>
            <w:r>
              <w:rPr>
                <w:rFonts w:ascii="Calibri" w:cs="Calibri" w:eastAsia="Calibri" w:hAnsi="Calibri"/>
                <w:sz w:val="20"/>
                <w:szCs w:val="20"/>
                <w:color w:val="0000EE"/>
              </w:rPr>
              <w:t>Vestng of Restricted Stock Units</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gridSpan w:val="5"/>
          </w:tcPr>
          <w:p>
            <w:pPr>
              <w:spacing w:after="0"/>
              <w:rPr>
                <w:sz w:val="24"/>
                <w:szCs w:val="24"/>
                <w:color w:val="auto"/>
              </w:rPr>
            </w:pPr>
          </w:p>
        </w:tc>
        <w:tc>
          <w:tcPr>
            <w:tcW w:w="380" w:type="dxa"/>
            <w:vAlign w:val="bottom"/>
            <w:tcBorders>
              <w:bottom w:val="single" w:sz="8" w:color="0000EE"/>
            </w:tcBorders>
            <w:gridSpan w:val="5"/>
          </w:tcPr>
          <w:p>
            <w:pPr>
              <w:jc w:val="right"/>
              <w:ind w:right="160"/>
              <w:spacing w:after="0"/>
              <w:rPr>
                <w:sz w:val="20"/>
                <w:szCs w:val="20"/>
                <w:color w:val="auto"/>
              </w:rPr>
            </w:pPr>
            <w:r>
              <w:rPr>
                <w:rFonts w:ascii="Calibri" w:cs="Calibri" w:eastAsia="Calibri" w:hAnsi="Calibri"/>
                <w:sz w:val="20"/>
                <w:szCs w:val="20"/>
                <w:color w:val="0000EE"/>
                <w:w w:val="98"/>
              </w:rPr>
              <w:t>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60" w:type="dxa"/>
            <w:vAlign w:val="bottom"/>
            <w:gridSpan w:val="20"/>
          </w:tcPr>
          <w:p>
            <w:pPr>
              <w:ind w:left="20"/>
              <w:spacing w:after="0"/>
              <w:rPr>
                <w:sz w:val="20"/>
                <w:szCs w:val="20"/>
                <w:color w:val="auto"/>
              </w:rPr>
            </w:pPr>
            <w:r>
              <w:rPr>
                <w:rFonts w:ascii="Calibri" w:cs="Calibri" w:eastAsia="Calibri" w:hAnsi="Calibri"/>
                <w:sz w:val="20"/>
                <w:szCs w:val="20"/>
                <w:color w:val="0000EE"/>
                <w:w w:val="99"/>
              </w:rPr>
              <w:t>Maturity and Payment</w:t>
            </w:r>
          </w:p>
        </w:tc>
        <w:tc>
          <w:tcPr>
            <w:tcW w:w="840" w:type="dxa"/>
            <w:vAlign w:val="bottom"/>
            <w:gridSpan w:val="17"/>
          </w:tcPr>
          <w:p>
            <w:pPr>
              <w:jc w:val="right"/>
              <w:spacing w:after="0"/>
              <w:rPr>
                <w:sz w:val="20"/>
                <w:szCs w:val="20"/>
                <w:color w:val="auto"/>
              </w:rPr>
            </w:pPr>
            <w:r>
              <w:rPr>
                <w:rFonts w:ascii="Calibri" w:cs="Calibri" w:eastAsia="Calibri" w:hAnsi="Calibri"/>
                <w:sz w:val="20"/>
                <w:szCs w:val="20"/>
                <w:color w:val="0000EE"/>
              </w:rPr>
              <w:t>17</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4"/>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gridSpan w:val="37"/>
          </w:tcPr>
          <w:p>
            <w:pPr>
              <w:ind w:left="20"/>
              <w:spacing w:after="0"/>
              <w:rPr>
                <w:sz w:val="20"/>
                <w:szCs w:val="20"/>
                <w:color w:val="auto"/>
              </w:rPr>
            </w:pPr>
            <w:r>
              <w:rPr>
                <w:rFonts w:ascii="Calibri" w:cs="Calibri" w:eastAsia="Calibri" w:hAnsi="Calibri"/>
                <w:sz w:val="20"/>
                <w:szCs w:val="20"/>
                <w:color w:val="0000EE"/>
              </w:rPr>
              <w:t>No Rights as a Stockholder</w:t>
            </w:r>
          </w:p>
        </w:tc>
        <w:tc>
          <w:tcPr>
            <w:tcW w:w="340" w:type="dxa"/>
            <w:vAlign w:val="bottom"/>
            <w:gridSpan w:val="6"/>
          </w:tcPr>
          <w:p>
            <w:pPr>
              <w:jc w:val="right"/>
              <w:spacing w:after="0"/>
              <w:rPr>
                <w:sz w:val="20"/>
                <w:szCs w:val="20"/>
                <w:color w:val="auto"/>
              </w:rPr>
            </w:pPr>
            <w:r>
              <w:rPr>
                <w:rFonts w:ascii="Calibri" w:cs="Calibri" w:eastAsia="Calibri" w:hAnsi="Calibri"/>
                <w:sz w:val="20"/>
                <w:szCs w:val="20"/>
                <w:color w:val="0000EE"/>
              </w:rPr>
              <w:t>17</w:t>
            </w: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56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5"/>
            <w:shd w:val="clear" w:color="auto" w:fill="0000EE"/>
          </w:tcPr>
          <w:p>
            <w:pPr>
              <w:spacing w:after="0" w:line="20" w:lineRule="exact"/>
              <w:rPr>
                <w:sz w:val="1"/>
                <w:szCs w:val="1"/>
                <w:color w:val="auto"/>
              </w:rPr>
            </w:pPr>
          </w:p>
        </w:tc>
        <w:tc>
          <w:tcPr>
            <w:tcW w:w="240" w:type="dxa"/>
            <w:vAlign w:val="bottom"/>
            <w:tcBorders>
              <w:right w:val="single" w:sz="8" w:color="0000EE"/>
            </w:tcBorders>
            <w:gridSpan w:val="5"/>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45"/>
        </w:trPr>
        <w:tc>
          <w:tcPr>
            <w:tcW w:w="640" w:type="dxa"/>
            <w:vAlign w:val="bottom"/>
          </w:tcPr>
          <w:p>
            <w:pPr>
              <w:spacing w:after="0"/>
              <w:rPr>
                <w:sz w:val="24"/>
                <w:szCs w:val="24"/>
                <w:color w:val="auto"/>
              </w:rPr>
            </w:pPr>
          </w:p>
        </w:tc>
        <w:tc>
          <w:tcPr>
            <w:tcW w:w="4420" w:type="dxa"/>
            <w:vAlign w:val="bottom"/>
            <w:gridSpan w:val="55"/>
          </w:tcPr>
          <w:p>
            <w:pPr>
              <w:spacing w:after="0"/>
              <w:rPr>
                <w:sz w:val="20"/>
                <w:szCs w:val="20"/>
                <w:color w:val="auto"/>
              </w:rPr>
            </w:pPr>
            <w:r>
              <w:rPr>
                <w:rFonts w:ascii="Calibri" w:cs="Calibri" w:eastAsia="Calibri" w:hAnsi="Calibri"/>
                <w:sz w:val="20"/>
                <w:szCs w:val="20"/>
                <w:color w:val="0000EE"/>
              </w:rPr>
              <w:t>PERFORMANCE AWARDS AND STOCK PAYMENTS</w:t>
            </w:r>
          </w:p>
        </w:tc>
        <w:tc>
          <w:tcPr>
            <w:tcW w:w="400" w:type="dxa"/>
            <w:vAlign w:val="bottom"/>
            <w:gridSpan w:val="4"/>
          </w:tcPr>
          <w:p>
            <w:pPr>
              <w:jc w:val="right"/>
              <w:spacing w:after="0"/>
              <w:rPr>
                <w:sz w:val="20"/>
                <w:szCs w:val="20"/>
                <w:color w:val="auto"/>
              </w:rPr>
            </w:pPr>
            <w:r>
              <w:rPr>
                <w:rFonts w:ascii="Calibri" w:cs="Calibri" w:eastAsia="Calibri" w:hAnsi="Calibri"/>
                <w:sz w:val="20"/>
                <w:szCs w:val="20"/>
                <w:color w:val="0000EE"/>
              </w:rPr>
              <w:t>17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720" w:type="dxa"/>
            <w:vAlign w:val="bottom"/>
            <w:tcBorders>
              <w:top w:val="single" w:sz="8" w:color="0000EE"/>
            </w:tcBorders>
            <w:gridSpan w:val="16"/>
          </w:tcPr>
          <w:p>
            <w:pPr>
              <w:ind w:left="20"/>
              <w:spacing w:after="0"/>
              <w:rPr>
                <w:sz w:val="20"/>
                <w:szCs w:val="20"/>
                <w:color w:val="auto"/>
              </w:rPr>
            </w:pPr>
            <w:r>
              <w:rPr>
                <w:rFonts w:ascii="Calibri" w:cs="Calibri" w:eastAsia="Calibri" w:hAnsi="Calibri"/>
                <w:sz w:val="20"/>
                <w:szCs w:val="20"/>
                <w:color w:val="0000EE"/>
                <w:w w:val="98"/>
              </w:rPr>
              <w:t>Performance Awards</w:t>
            </w: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gridSpan w:val="16"/>
          </w:tcPr>
          <w:p>
            <w:pPr>
              <w:jc w:val="right"/>
              <w:spacing w:after="0"/>
              <w:rPr>
                <w:sz w:val="20"/>
                <w:szCs w:val="20"/>
                <w:color w:val="auto"/>
              </w:rPr>
            </w:pPr>
            <w:r>
              <w:rPr>
                <w:rFonts w:ascii="Calibri" w:cs="Calibri" w:eastAsia="Calibri" w:hAnsi="Calibri"/>
                <w:sz w:val="20"/>
                <w:szCs w:val="20"/>
                <w:color w:val="0000EE"/>
              </w:rPr>
              <w:t>17</w:t>
            </w: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tcBorders>
              <w:top w:val="single" w:sz="8" w:color="0000EE"/>
            </w:tcBorders>
            <w:gridSpan w:val="16"/>
          </w:tcPr>
          <w:p>
            <w:pPr>
              <w:ind w:left="20"/>
              <w:spacing w:after="0"/>
              <w:rPr>
                <w:sz w:val="20"/>
                <w:szCs w:val="20"/>
                <w:color w:val="auto"/>
              </w:rPr>
            </w:pPr>
            <w:r>
              <w:rPr>
                <w:rFonts w:ascii="Calibri" w:cs="Calibri" w:eastAsia="Calibri" w:hAnsi="Calibri"/>
                <w:sz w:val="20"/>
                <w:szCs w:val="20"/>
                <w:color w:val="0000EE"/>
              </w:rPr>
              <w:t>Stock Payments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gridSpan w:val="6"/>
          </w:tcPr>
          <w:p>
            <w:pPr>
              <w:jc w:val="right"/>
              <w:spacing w:after="0"/>
              <w:rPr>
                <w:sz w:val="20"/>
                <w:szCs w:val="20"/>
                <w:color w:val="auto"/>
              </w:rPr>
            </w:pPr>
            <w:r>
              <w:rPr>
                <w:rFonts w:ascii="Calibri" w:cs="Calibri" w:eastAsia="Calibri" w:hAnsi="Calibri"/>
                <w:sz w:val="20"/>
                <w:szCs w:val="20"/>
                <w:color w:val="0000EE"/>
              </w:rPr>
              <w:t>18</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45"/>
        </w:trPr>
        <w:tc>
          <w:tcPr>
            <w:tcW w:w="1280" w:type="dxa"/>
            <w:vAlign w:val="bottom"/>
            <w:gridSpan w:val="2"/>
          </w:tcPr>
          <w:p>
            <w:pPr>
              <w:spacing w:after="0"/>
              <w:rPr>
                <w:sz w:val="24"/>
                <w:szCs w:val="24"/>
                <w:color w:val="auto"/>
              </w:rPr>
            </w:pPr>
          </w:p>
        </w:tc>
        <w:tc>
          <w:tcPr>
            <w:tcW w:w="960" w:type="dxa"/>
            <w:vAlign w:val="bottom"/>
            <w:tcBorders>
              <w:top w:val="single" w:sz="8" w:color="0000EE"/>
            </w:tcBorders>
            <w:gridSpan w:val="4"/>
          </w:tcPr>
          <w:p>
            <w:pPr>
              <w:ind w:left="20"/>
              <w:spacing w:after="0"/>
              <w:rPr>
                <w:sz w:val="20"/>
                <w:szCs w:val="20"/>
                <w:color w:val="auto"/>
              </w:rPr>
            </w:pPr>
            <w:r>
              <w:rPr>
                <w:rFonts w:ascii="Calibri" w:cs="Calibri" w:eastAsia="Calibri" w:hAnsi="Calibri"/>
                <w:sz w:val="20"/>
                <w:szCs w:val="20"/>
                <w:color w:val="0000EE"/>
              </w:rPr>
              <w:t>Term</w:t>
            </w:r>
          </w:p>
        </w:tc>
        <w:tc>
          <w:tcPr>
            <w:tcW w:w="340" w:type="dxa"/>
            <w:vAlign w:val="bottom"/>
            <w:tcBorders>
              <w:top w:val="single" w:sz="8" w:color="0000EE"/>
            </w:tcBorders>
            <w:gridSpan w:val="4"/>
          </w:tcPr>
          <w:p>
            <w:pPr>
              <w:jc w:val="right"/>
              <w:ind w:right="20"/>
              <w:spacing w:after="0"/>
              <w:rPr>
                <w:sz w:val="20"/>
                <w:szCs w:val="20"/>
                <w:color w:val="auto"/>
              </w:rPr>
            </w:pPr>
            <w:r>
              <w:rPr>
                <w:rFonts w:ascii="Calibri" w:cs="Calibri" w:eastAsia="Calibri" w:hAnsi="Calibri"/>
                <w:sz w:val="20"/>
                <w:szCs w:val="20"/>
                <w:color w:val="0000EE"/>
              </w:rPr>
              <w:t>18</w:t>
            </w:r>
          </w:p>
        </w:tc>
        <w:tc>
          <w:tcPr>
            <w:tcW w:w="640" w:type="dxa"/>
            <w:vAlign w:val="bottom"/>
            <w:gridSpan w:val="13"/>
          </w:tcPr>
          <w:p>
            <w:pPr>
              <w:spacing w:after="0"/>
              <w:rPr>
                <w:sz w:val="24"/>
                <w:szCs w:val="24"/>
                <w:color w:val="auto"/>
              </w:rPr>
            </w:pPr>
          </w:p>
        </w:tc>
        <w:tc>
          <w:tcPr>
            <w:tcW w:w="240" w:type="dxa"/>
            <w:vAlign w:val="bottom"/>
            <w:tcBorders>
              <w:top w:val="single" w:sz="8" w:color="0000EE"/>
            </w:tcBorders>
            <w:gridSpan w:val="5"/>
          </w:tcPr>
          <w:p>
            <w:pPr>
              <w:spacing w:after="0"/>
              <w:rPr>
                <w:sz w:val="24"/>
                <w:szCs w:val="24"/>
                <w:color w:val="auto"/>
              </w:rPr>
            </w:pPr>
          </w:p>
        </w:tc>
        <w:tc>
          <w:tcPr>
            <w:tcW w:w="5740" w:type="dxa"/>
            <w:vAlign w:val="bottom"/>
            <w:gridSpan w:val="35"/>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20" w:type="dxa"/>
            <w:vAlign w:val="bottom"/>
            <w:gridSpan w:val="7"/>
          </w:tcPr>
          <w:p>
            <w:pPr>
              <w:ind w:left="20"/>
              <w:spacing w:after="0"/>
              <w:rPr>
                <w:sz w:val="20"/>
                <w:szCs w:val="20"/>
                <w:color w:val="auto"/>
              </w:rPr>
            </w:pPr>
            <w:r>
              <w:rPr>
                <w:rFonts w:ascii="Calibri" w:cs="Calibri" w:eastAsia="Calibri" w:hAnsi="Calibri"/>
                <w:sz w:val="20"/>
                <w:szCs w:val="20"/>
                <w:color w:val="0000EE"/>
                <w:w w:val="97"/>
              </w:rPr>
              <w:t>Purchase Price</w:t>
            </w:r>
          </w:p>
        </w:tc>
        <w:tc>
          <w:tcPr>
            <w:tcW w:w="500" w:type="dxa"/>
            <w:vAlign w:val="bottom"/>
            <w:gridSpan w:val="9"/>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gridSpan w:val="3"/>
          </w:tcPr>
          <w:p>
            <w:pPr>
              <w:jc w:val="right"/>
              <w:spacing w:after="0"/>
              <w:rPr>
                <w:sz w:val="20"/>
                <w:szCs w:val="20"/>
                <w:color w:val="auto"/>
              </w:rPr>
            </w:pPr>
            <w:r>
              <w:rPr>
                <w:rFonts w:ascii="Calibri" w:cs="Calibri" w:eastAsia="Calibri" w:hAnsi="Calibri"/>
                <w:sz w:val="20"/>
                <w:szCs w:val="20"/>
                <w:color w:val="0000EE"/>
                <w:w w:val="88"/>
              </w:rPr>
              <w:t>18</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720" w:type="dxa"/>
            <w:vAlign w:val="bottom"/>
            <w:gridSpan w:val="16"/>
          </w:tcPr>
          <w:p>
            <w:pPr>
              <w:ind w:left="20"/>
              <w:spacing w:after="0"/>
              <w:rPr>
                <w:sz w:val="20"/>
                <w:szCs w:val="20"/>
                <w:color w:val="auto"/>
              </w:rPr>
            </w:pPr>
            <w:r>
              <w:rPr>
                <w:rFonts w:ascii="Calibri" w:cs="Calibri" w:eastAsia="Calibri" w:hAnsi="Calibri"/>
                <w:sz w:val="20"/>
                <w:szCs w:val="20"/>
                <w:color w:val="0000EE"/>
              </w:rPr>
              <w:t>Maturity and Vestng</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gridSpan w:val="16"/>
          </w:tcPr>
          <w:p>
            <w:pPr>
              <w:jc w:val="right"/>
              <w:spacing w:after="0"/>
              <w:rPr>
                <w:sz w:val="20"/>
                <w:szCs w:val="20"/>
                <w:color w:val="auto"/>
              </w:rPr>
            </w:pPr>
            <w:r>
              <w:rPr>
                <w:rFonts w:ascii="Calibri" w:cs="Calibri" w:eastAsia="Calibri" w:hAnsi="Calibri"/>
                <w:sz w:val="20"/>
                <w:szCs w:val="20"/>
                <w:color w:val="0000EE"/>
              </w:rPr>
              <w:t>18</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60" w:type="dxa"/>
            <w:vAlign w:val="bottom"/>
            <w:tcBorders>
              <w:right w:val="single" w:sz="8" w:color="0000EE"/>
            </w:tcBorders>
            <w:gridSpan w:val="3"/>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44"/>
        </w:trPr>
        <w:tc>
          <w:tcPr>
            <w:tcW w:w="640" w:type="dxa"/>
            <w:vAlign w:val="bottom"/>
          </w:tcPr>
          <w:p>
            <w:pPr>
              <w:spacing w:after="0"/>
              <w:rPr>
                <w:sz w:val="24"/>
                <w:szCs w:val="24"/>
                <w:color w:val="auto"/>
              </w:rPr>
            </w:pPr>
          </w:p>
        </w:tc>
        <w:tc>
          <w:tcPr>
            <w:tcW w:w="2460" w:type="dxa"/>
            <w:vAlign w:val="bottom"/>
            <w:tcBorders>
              <w:bottom w:val="single" w:sz="8" w:color="0000EE"/>
            </w:tcBorders>
            <w:gridSpan w:val="19"/>
          </w:tcPr>
          <w:p>
            <w:pPr>
              <w:spacing w:after="0"/>
              <w:rPr>
                <w:sz w:val="20"/>
                <w:szCs w:val="20"/>
                <w:color w:val="auto"/>
              </w:rPr>
            </w:pPr>
            <w:r>
              <w:rPr>
                <w:rFonts w:ascii="Calibri" w:cs="Calibri" w:eastAsia="Calibri" w:hAnsi="Calibri"/>
                <w:sz w:val="20"/>
                <w:szCs w:val="20"/>
                <w:color w:val="0000EE"/>
                <w:w w:val="99"/>
              </w:rPr>
              <w:t>STOCK APPRECIATION RIGHTS</w:t>
            </w:r>
          </w:p>
        </w:tc>
        <w:tc>
          <w:tcPr>
            <w:tcW w:w="40" w:type="dxa"/>
            <w:vAlign w:val="bottom"/>
            <w:gridSpan w:val="2"/>
          </w:tcPr>
          <w:p>
            <w:pPr>
              <w:spacing w:after="0"/>
              <w:rPr>
                <w:sz w:val="24"/>
                <w:szCs w:val="24"/>
                <w:color w:val="auto"/>
              </w:rPr>
            </w:pPr>
          </w:p>
        </w:tc>
        <w:tc>
          <w:tcPr>
            <w:tcW w:w="580" w:type="dxa"/>
            <w:vAlign w:val="bottom"/>
            <w:gridSpan w:val="12"/>
          </w:tcPr>
          <w:p>
            <w:pPr>
              <w:spacing w:after="0"/>
              <w:rPr>
                <w:sz w:val="24"/>
                <w:szCs w:val="24"/>
                <w:color w:val="auto"/>
              </w:rPr>
            </w:pPr>
          </w:p>
        </w:tc>
        <w:tc>
          <w:tcPr>
            <w:tcW w:w="260" w:type="dxa"/>
            <w:vAlign w:val="bottom"/>
            <w:tcBorders>
              <w:bottom w:val="single" w:sz="8" w:color="0000EE"/>
            </w:tcBorders>
            <w:gridSpan w:val="5"/>
          </w:tcPr>
          <w:p>
            <w:pPr>
              <w:jc w:val="right"/>
              <w:ind w:right="40"/>
              <w:spacing w:after="0"/>
              <w:rPr>
                <w:sz w:val="20"/>
                <w:szCs w:val="20"/>
                <w:color w:val="auto"/>
              </w:rPr>
            </w:pPr>
            <w:r>
              <w:rPr>
                <w:rFonts w:ascii="Calibri" w:cs="Calibri" w:eastAsia="Calibri" w:hAnsi="Calibri"/>
                <w:sz w:val="20"/>
                <w:szCs w:val="20"/>
                <w:color w:val="0000EE"/>
                <w:w w:val="98"/>
              </w:rPr>
              <w:t>18</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40" w:type="dxa"/>
            <w:vAlign w:val="bottom"/>
            <w:gridSpan w:val="43"/>
          </w:tcPr>
          <w:p>
            <w:pPr>
              <w:ind w:left="20"/>
              <w:spacing w:after="0"/>
              <w:rPr>
                <w:sz w:val="20"/>
                <w:szCs w:val="20"/>
                <w:color w:val="auto"/>
              </w:rPr>
            </w:pPr>
            <w:r>
              <w:rPr>
                <w:rFonts w:ascii="Calibri" w:cs="Calibri" w:eastAsia="Calibri" w:hAnsi="Calibri"/>
                <w:sz w:val="20"/>
                <w:szCs w:val="20"/>
                <w:color w:val="0000EE"/>
              </w:rPr>
              <w:t>Grant of Stock Appreciaton Rights</w:t>
            </w:r>
          </w:p>
        </w:tc>
        <w:tc>
          <w:tcPr>
            <w:tcW w:w="640" w:type="dxa"/>
            <w:vAlign w:val="bottom"/>
            <w:gridSpan w:val="10"/>
          </w:tcPr>
          <w:p>
            <w:pPr>
              <w:jc w:val="right"/>
              <w:spacing w:after="0"/>
              <w:rPr>
                <w:sz w:val="20"/>
                <w:szCs w:val="20"/>
                <w:color w:val="auto"/>
              </w:rPr>
            </w:pPr>
            <w:r>
              <w:rPr>
                <w:rFonts w:ascii="Calibri" w:cs="Calibri" w:eastAsia="Calibri" w:hAnsi="Calibri"/>
                <w:sz w:val="20"/>
                <w:szCs w:val="20"/>
                <w:color w:val="0000EE"/>
              </w:rPr>
              <w:t>18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tcBorders>
              <w:right w:val="single" w:sz="8" w:color="0000EE"/>
            </w:tcBorders>
            <w:gridSpan w:val="12"/>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0000EE"/>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gridSpan w:val="37"/>
          </w:tcPr>
          <w:p>
            <w:pPr>
              <w:ind w:left="20"/>
              <w:spacing w:after="0"/>
              <w:rPr>
                <w:sz w:val="20"/>
                <w:szCs w:val="20"/>
                <w:color w:val="auto"/>
              </w:rPr>
            </w:pPr>
            <w:r>
              <w:rPr>
                <w:rFonts w:ascii="Calibri" w:cs="Calibri" w:eastAsia="Calibri" w:hAnsi="Calibri"/>
                <w:sz w:val="20"/>
                <w:szCs w:val="20"/>
                <w:color w:val="0000EE"/>
              </w:rPr>
              <w:t>Stock Appreciaton Right Vestng</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gridSpan w:val="10"/>
          </w:tcPr>
          <w:p>
            <w:pPr>
              <w:jc w:val="right"/>
              <w:ind w:right="160"/>
              <w:spacing w:after="0"/>
              <w:rPr>
                <w:sz w:val="20"/>
                <w:szCs w:val="20"/>
                <w:color w:val="auto"/>
              </w:rPr>
            </w:pPr>
            <w:r>
              <w:rPr>
                <w:rFonts w:ascii="Calibri" w:cs="Calibri" w:eastAsia="Calibri" w:hAnsi="Calibri"/>
                <w:sz w:val="20"/>
                <w:szCs w:val="20"/>
                <w:color w:val="0000EE"/>
              </w:rPr>
              <w:t>19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45"/>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20" w:type="dxa"/>
            <w:vAlign w:val="bottom"/>
            <w:tcBorders>
              <w:top w:val="single" w:sz="8" w:color="0000EE"/>
            </w:tcBorders>
            <w:gridSpan w:val="15"/>
          </w:tcPr>
          <w:p>
            <w:pPr>
              <w:ind w:left="20"/>
              <w:spacing w:after="0"/>
              <w:rPr>
                <w:sz w:val="20"/>
                <w:szCs w:val="20"/>
                <w:color w:val="auto"/>
              </w:rPr>
            </w:pPr>
            <w:r>
              <w:rPr>
                <w:rFonts w:ascii="Calibri" w:cs="Calibri" w:eastAsia="Calibri" w:hAnsi="Calibri"/>
                <w:sz w:val="20"/>
                <w:szCs w:val="20"/>
                <w:color w:val="0000EE"/>
              </w:rPr>
              <w:t>Manner of Exercise</w:t>
            </w: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12"/>
          </w:tcPr>
          <w:p>
            <w:pPr>
              <w:jc w:val="right"/>
              <w:spacing w:after="0"/>
              <w:rPr>
                <w:sz w:val="20"/>
                <w:szCs w:val="20"/>
                <w:color w:val="auto"/>
              </w:rPr>
            </w:pPr>
            <w:r>
              <w:rPr>
                <w:rFonts w:ascii="Calibri" w:cs="Calibri" w:eastAsia="Calibri" w:hAnsi="Calibri"/>
                <w:sz w:val="20"/>
                <w:szCs w:val="20"/>
                <w:color w:val="0000EE"/>
              </w:rPr>
              <w:t>19</w:t>
            </w: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gridSpan w:val="7"/>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20" w:type="dxa"/>
            <w:vAlign w:val="bottom"/>
            <w:gridSpan w:val="12"/>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700" w:type="dxa"/>
            <w:vAlign w:val="bottom"/>
            <w:gridSpan w:val="37"/>
          </w:tcPr>
          <w:p>
            <w:pPr>
              <w:ind w:left="20"/>
              <w:spacing w:after="0"/>
              <w:rPr>
                <w:sz w:val="20"/>
                <w:szCs w:val="20"/>
                <w:color w:val="auto"/>
              </w:rPr>
            </w:pPr>
            <w:r>
              <w:rPr>
                <w:rFonts w:ascii="Calibri" w:cs="Calibri" w:eastAsia="Calibri" w:hAnsi="Calibri"/>
                <w:sz w:val="20"/>
                <w:szCs w:val="20"/>
                <w:color w:val="0000EE"/>
              </w:rPr>
              <w:t>Stock Appreciaton Right Term</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gridSpan w:val="7"/>
          </w:tcPr>
          <w:p>
            <w:pPr>
              <w:jc w:val="right"/>
              <w:spacing w:after="0"/>
              <w:rPr>
                <w:sz w:val="20"/>
                <w:szCs w:val="20"/>
                <w:color w:val="auto"/>
              </w:rPr>
            </w:pPr>
            <w:r>
              <w:rPr>
                <w:rFonts w:ascii="Calibri" w:cs="Calibri" w:eastAsia="Calibri" w:hAnsi="Calibri"/>
                <w:sz w:val="20"/>
                <w:szCs w:val="20"/>
                <w:color w:val="0000EE"/>
              </w:rPr>
              <w:t>19</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40" w:type="dxa"/>
            <w:vAlign w:val="bottom"/>
            <w:tcBorders>
              <w:top w:val="single" w:sz="8" w:color="0000EE"/>
            </w:tcBorders>
            <w:gridSpan w:val="2"/>
          </w:tcPr>
          <w:p>
            <w:pPr>
              <w:ind w:left="20"/>
              <w:spacing w:after="0"/>
              <w:rPr>
                <w:sz w:val="20"/>
                <w:szCs w:val="20"/>
                <w:color w:val="auto"/>
              </w:rPr>
            </w:pPr>
            <w:r>
              <w:rPr>
                <w:rFonts w:ascii="Calibri" w:cs="Calibri" w:eastAsia="Calibri" w:hAnsi="Calibri"/>
                <w:sz w:val="20"/>
                <w:szCs w:val="20"/>
                <w:color w:val="0000EE"/>
                <w:w w:val="96"/>
              </w:rPr>
              <w:t>Payment</w:t>
            </w:r>
          </w:p>
        </w:tc>
        <w:tc>
          <w:tcPr>
            <w:tcW w:w="220" w:type="dxa"/>
            <w:vAlign w:val="bottom"/>
            <w:tcBorders>
              <w:top w:val="single" w:sz="8" w:color="0000EE"/>
            </w:tcBorders>
            <w:gridSpan w:val="2"/>
          </w:tcPr>
          <w:p>
            <w:pPr>
              <w:spacing w:after="0"/>
              <w:rPr>
                <w:sz w:val="24"/>
                <w:szCs w:val="24"/>
                <w:color w:val="auto"/>
              </w:rPr>
            </w:pPr>
          </w:p>
        </w:tc>
        <w:tc>
          <w:tcPr>
            <w:tcW w:w="640" w:type="dxa"/>
            <w:vAlign w:val="bottom"/>
            <w:tcBorders>
              <w:top w:val="single" w:sz="8" w:color="0000EE"/>
            </w:tcBorders>
            <w:gridSpan w:val="10"/>
          </w:tcPr>
          <w:p>
            <w:pPr>
              <w:jc w:val="right"/>
              <w:ind w:right="20"/>
              <w:spacing w:after="0"/>
              <w:rPr>
                <w:sz w:val="20"/>
                <w:szCs w:val="20"/>
                <w:color w:val="auto"/>
              </w:rPr>
            </w:pPr>
            <w:r>
              <w:rPr>
                <w:rFonts w:ascii="Calibri" w:cs="Calibri" w:eastAsia="Calibri" w:hAnsi="Calibri"/>
                <w:sz w:val="20"/>
                <w:szCs w:val="20"/>
                <w:color w:val="0000EE"/>
              </w:rPr>
              <w:t>19</w:t>
            </w: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1280" w:type="dxa"/>
            <w:vAlign w:val="bottom"/>
            <w:gridSpan w:val="2"/>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40" w:type="dxa"/>
            <w:vAlign w:val="bottom"/>
            <w:gridSpan w:val="7"/>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6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7"/>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44"/>
        </w:trPr>
        <w:tc>
          <w:tcPr>
            <w:tcW w:w="3000" w:type="dxa"/>
            <w:vAlign w:val="bottom"/>
            <w:gridSpan w:val="18"/>
          </w:tcPr>
          <w:p>
            <w:pPr>
              <w:ind w:left="140"/>
              <w:spacing w:after="0"/>
              <w:rPr>
                <w:sz w:val="20"/>
                <w:szCs w:val="20"/>
                <w:color w:val="auto"/>
              </w:rPr>
            </w:pPr>
            <w:r>
              <w:rPr>
                <w:rFonts w:ascii="Calibri" w:cs="Calibri" w:eastAsia="Calibri" w:hAnsi="Calibri"/>
                <w:sz w:val="20"/>
                <w:szCs w:val="20"/>
                <w:color w:val="0000EE"/>
              </w:rPr>
              <w:t>ADDITIONAL TERMS OF AWARDS</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40" w:type="dxa"/>
            <w:vAlign w:val="bottom"/>
            <w:gridSpan w:val="10"/>
          </w:tcPr>
          <w:p>
            <w:pPr>
              <w:jc w:val="right"/>
              <w:spacing w:after="0"/>
              <w:rPr>
                <w:sz w:val="20"/>
                <w:szCs w:val="20"/>
                <w:color w:val="auto"/>
              </w:rPr>
            </w:pPr>
            <w:r>
              <w:rPr>
                <w:rFonts w:ascii="Calibri" w:cs="Calibri" w:eastAsia="Calibri" w:hAnsi="Calibri"/>
                <w:sz w:val="20"/>
                <w:szCs w:val="20"/>
                <w:color w:val="0000EE"/>
              </w:rPr>
              <w:t>20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0"/>
        </w:trPr>
        <w:tc>
          <w:tcPr>
            <w:tcW w:w="6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31"/>
        </w:trPr>
        <w:tc>
          <w:tcPr>
            <w:tcW w:w="6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60" w:type="dxa"/>
            <w:vAlign w:val="bottom"/>
            <w:gridSpan w:val="4"/>
          </w:tcPr>
          <w:p>
            <w:pPr>
              <w:ind w:left="20"/>
              <w:spacing w:after="0"/>
              <w:rPr>
                <w:sz w:val="20"/>
                <w:szCs w:val="20"/>
                <w:color w:val="auto"/>
              </w:rPr>
            </w:pPr>
            <w:r>
              <w:rPr>
                <w:rFonts w:ascii="Calibri" w:cs="Calibri" w:eastAsia="Calibri" w:hAnsi="Calibri"/>
                <w:sz w:val="20"/>
                <w:szCs w:val="20"/>
                <w:color w:val="0000EE"/>
              </w:rPr>
              <w:t>Payment</w:t>
            </w:r>
          </w:p>
        </w:tc>
        <w:tc>
          <w:tcPr>
            <w:tcW w:w="640" w:type="dxa"/>
            <w:vAlign w:val="bottom"/>
            <w:gridSpan w:val="10"/>
          </w:tcPr>
          <w:p>
            <w:pPr>
              <w:jc w:val="right"/>
              <w:ind w:right="20"/>
              <w:spacing w:after="0"/>
              <w:rPr>
                <w:sz w:val="20"/>
                <w:szCs w:val="20"/>
                <w:color w:val="auto"/>
              </w:rPr>
            </w:pPr>
            <w:r>
              <w:rPr>
                <w:rFonts w:ascii="Calibri" w:cs="Calibri" w:eastAsia="Calibri" w:hAnsi="Calibri"/>
                <w:sz w:val="20"/>
                <w:szCs w:val="20"/>
                <w:color w:val="0000EE"/>
              </w:rPr>
              <w:t>20</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472"/>
        </w:trPr>
        <w:tc>
          <w:tcPr>
            <w:tcW w:w="1280" w:type="dxa"/>
            <w:vAlign w:val="bottom"/>
            <w:gridSpan w:val="2"/>
          </w:tcPr>
          <w:p>
            <w:pPr>
              <w:spacing w:after="0"/>
              <w:rPr>
                <w:sz w:val="24"/>
                <w:szCs w:val="24"/>
                <w:color w:val="auto"/>
              </w:rPr>
            </w:pPr>
          </w:p>
        </w:tc>
        <w:tc>
          <w:tcPr>
            <w:tcW w:w="740" w:type="dxa"/>
            <w:vAlign w:val="bottom"/>
            <w:tcBorders>
              <w:top w:val="single" w:sz="8" w:color="0000EE"/>
            </w:tcBorders>
            <w:gridSpan w:val="2"/>
          </w:tcPr>
          <w:p>
            <w:pPr>
              <w:spacing w:after="0"/>
              <w:rPr>
                <w:sz w:val="24"/>
                <w:szCs w:val="24"/>
                <w:color w:val="auto"/>
              </w:rPr>
            </w:pPr>
          </w:p>
        </w:tc>
        <w:tc>
          <w:tcPr>
            <w:tcW w:w="640" w:type="dxa"/>
            <w:vAlign w:val="bottom"/>
            <w:gridSpan w:val="7"/>
          </w:tcPr>
          <w:p>
            <w:pPr>
              <w:spacing w:after="0"/>
              <w:rPr>
                <w:sz w:val="24"/>
                <w:szCs w:val="24"/>
                <w:color w:val="auto"/>
              </w:rPr>
            </w:pPr>
          </w:p>
        </w:tc>
        <w:tc>
          <w:tcPr>
            <w:tcW w:w="220" w:type="dxa"/>
            <w:vAlign w:val="bottom"/>
            <w:tcBorders>
              <w:top w:val="single" w:sz="8" w:color="0000EE"/>
            </w:tcBorders>
            <w:gridSpan w:val="5"/>
          </w:tcPr>
          <w:p>
            <w:pPr>
              <w:spacing w:after="0"/>
              <w:rPr>
                <w:sz w:val="24"/>
                <w:szCs w:val="24"/>
                <w:color w:val="auto"/>
              </w:rPr>
            </w:pPr>
          </w:p>
        </w:tc>
        <w:tc>
          <w:tcPr>
            <w:tcW w:w="6320" w:type="dxa"/>
            <w:vAlign w:val="bottom"/>
            <w:gridSpan w:val="47"/>
          </w:tcPr>
          <w:p>
            <w:pPr>
              <w:jc w:val="right"/>
              <w:ind w:right="6320"/>
              <w:spacing w:after="0"/>
              <w:rPr>
                <w:sz w:val="20"/>
                <w:szCs w:val="20"/>
                <w:color w:val="auto"/>
              </w:rPr>
            </w:pPr>
            <w:r>
              <w:rPr>
                <w:rFonts w:ascii="Times New Roman" w:cs="Times New Roman" w:eastAsia="Times New Roman" w:hAnsi="Times New Roman"/>
                <w:sz w:val="20"/>
                <w:szCs w:val="20"/>
                <w:color w:val="auto"/>
              </w:rPr>
              <w:t>3</w:t>
            </w:r>
          </w:p>
        </w:tc>
      </w:tr>
      <w:tr>
        <w:trPr>
          <w:trHeight w:val="453"/>
        </w:trPr>
        <w:tc>
          <w:tcPr>
            <w:tcW w:w="9200" w:type="dxa"/>
            <w:vAlign w:val="bottom"/>
            <w:tcBorders>
              <w:bottom w:val="single" w:sz="8" w:color="9A9A9A"/>
            </w:tcBorders>
            <w:gridSpan w:val="63"/>
          </w:tcPr>
          <w:p>
            <w:pPr>
              <w:spacing w:after="0"/>
              <w:rPr>
                <w:sz w:val="24"/>
                <w:szCs w:val="24"/>
                <w:color w:val="auto"/>
              </w:rPr>
            </w:pPr>
          </w:p>
        </w:tc>
      </w:tr>
      <w:tr>
        <w:trPr>
          <w:trHeight w:val="20"/>
        </w:trPr>
        <w:tc>
          <w:tcPr>
            <w:tcW w:w="9200" w:type="dxa"/>
            <w:vAlign w:val="bottom"/>
            <w:tcBorders>
              <w:bottom w:val="single" w:sz="8" w:color="EEEEEE"/>
            </w:tcBorders>
            <w:gridSpan w:val="6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-37465</wp:posOffset>
            </wp:positionV>
            <wp:extent cx="3365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3655" cy="5080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-37465</wp:posOffset>
            </wp:positionV>
            <wp:extent cx="34290"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50800"/>
                    </a:xfrm>
                    <a:prstGeom prst="rect">
                      <a:avLst/>
                    </a:prstGeom>
                    <a:noFill/>
                  </pic:spPr>
                </pic:pic>
              </a:graphicData>
            </a:graphic>
          </wp:anchor>
        </w:drawing>
      </w:r>
    </w:p>
    <w:p>
      <w:pPr>
        <w:sectPr>
          <w:pgSz w:w="11900" w:h="16838" w:orient="portrait"/>
          <w:cols w:equalWidth="0" w:num="1">
            <w:col w:w="9200"/>
          </w:cols>
          <w:pgMar w:left="1360" w:top="100" w:right="1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62"/>
        </w:trPr>
        <w:tc>
          <w:tcPr>
            <w:tcW w:w="12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60" w:type="dxa"/>
            <w:vAlign w:val="bottom"/>
            <w:gridSpan w:val="25"/>
          </w:tcPr>
          <w:p>
            <w:pPr>
              <w:jc w:val="center"/>
              <w:ind w:right="20"/>
              <w:spacing w:after="0"/>
              <w:rPr>
                <w:sz w:val="20"/>
                <w:szCs w:val="20"/>
                <w:color w:val="auto"/>
              </w:rPr>
            </w:pPr>
            <w:r>
              <w:rPr>
                <w:rFonts w:ascii="Times New Roman" w:cs="Times New Roman" w:eastAsia="Times New Roman" w:hAnsi="Times New Roman"/>
                <w:sz w:val="20"/>
                <w:szCs w:val="20"/>
                <w:b w:val="1"/>
                <w:bCs w:val="1"/>
                <w:color w:val="auto"/>
                <w:w w:val="98"/>
              </w:rPr>
              <w:t>TABLE OF CONTENTS</w:t>
            </w:r>
          </w:p>
        </w:tc>
        <w:tc>
          <w:tcPr>
            <w:tcW w:w="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628"/>
        </w:trPr>
        <w:tc>
          <w:tcPr>
            <w:tcW w:w="1280" w:type="dxa"/>
            <w:vAlign w:val="bottom"/>
          </w:tcPr>
          <w:p>
            <w:pPr>
              <w:spacing w:after="0"/>
              <w:rPr>
                <w:sz w:val="24"/>
                <w:szCs w:val="24"/>
                <w:color w:val="auto"/>
              </w:rPr>
            </w:pPr>
          </w:p>
        </w:tc>
        <w:tc>
          <w:tcPr>
            <w:tcW w:w="1340" w:type="dxa"/>
            <w:vAlign w:val="bottom"/>
            <w:tcBorders>
              <w:bottom w:val="single" w:sz="8" w:color="0000EE"/>
            </w:tcBorders>
            <w:gridSpan w:val="10"/>
          </w:tcPr>
          <w:p>
            <w:pPr>
              <w:ind w:left="20"/>
              <w:spacing w:after="0"/>
              <w:rPr>
                <w:sz w:val="20"/>
                <w:szCs w:val="20"/>
                <w:color w:val="auto"/>
              </w:rPr>
            </w:pPr>
            <w:r>
              <w:rPr>
                <w:rFonts w:ascii="Calibri" w:cs="Calibri" w:eastAsia="Calibri" w:hAnsi="Calibri"/>
                <w:sz w:val="20"/>
                <w:szCs w:val="20"/>
                <w:color w:val="0000EE"/>
                <w:w w:val="96"/>
              </w:rPr>
              <w:t>Tax Withholding</w:t>
            </w:r>
          </w:p>
        </w:tc>
        <w:tc>
          <w:tcPr>
            <w:tcW w:w="280" w:type="dxa"/>
            <w:vAlign w:val="bottom"/>
            <w:gridSpan w:val="2"/>
          </w:tcPr>
          <w:p>
            <w:pPr>
              <w:spacing w:after="0"/>
              <w:rPr>
                <w:sz w:val="24"/>
                <w:szCs w:val="24"/>
                <w:color w:val="auto"/>
              </w:rPr>
            </w:pPr>
          </w:p>
        </w:tc>
        <w:tc>
          <w:tcPr>
            <w:tcW w:w="360" w:type="dxa"/>
            <w:vAlign w:val="bottom"/>
            <w:gridSpan w:val="2"/>
          </w:tcPr>
          <w:p>
            <w:pPr>
              <w:spacing w:after="0"/>
              <w:rPr>
                <w:sz w:val="24"/>
                <w:szCs w:val="24"/>
                <w:color w:val="auto"/>
              </w:rPr>
            </w:pPr>
          </w:p>
        </w:tc>
        <w:tc>
          <w:tcPr>
            <w:tcW w:w="200" w:type="dxa"/>
            <w:vAlign w:val="bottom"/>
            <w:tcBorders>
              <w:bottom w:val="single" w:sz="8" w:color="0000EE"/>
            </w:tcBorders>
            <w:gridSpan w:val="3"/>
          </w:tcPr>
          <w:p>
            <w:pPr>
              <w:jc w:val="right"/>
              <w:spacing w:after="0"/>
              <w:rPr>
                <w:sz w:val="20"/>
                <w:szCs w:val="20"/>
                <w:color w:val="auto"/>
              </w:rPr>
            </w:pPr>
            <w:r>
              <w:rPr>
                <w:rFonts w:ascii="Calibri" w:cs="Calibri" w:eastAsia="Calibri" w:hAnsi="Calibri"/>
                <w:sz w:val="20"/>
                <w:szCs w:val="20"/>
                <w:color w:val="0000EE"/>
                <w:w w:val="88"/>
              </w:rPr>
              <w:t>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1280" w:type="dxa"/>
            <w:vAlign w:val="bottom"/>
          </w:tcPr>
          <w:p>
            <w:pPr>
              <w:spacing w:after="0"/>
              <w:rPr>
                <w:sz w:val="24"/>
                <w:szCs w:val="24"/>
                <w:color w:val="auto"/>
              </w:rPr>
            </w:pPr>
          </w:p>
        </w:tc>
        <w:tc>
          <w:tcPr>
            <w:tcW w:w="2000" w:type="dxa"/>
            <w:vAlign w:val="bottom"/>
            <w:tcBorders>
              <w:bottom w:val="single" w:sz="8" w:color="0000EE"/>
            </w:tcBorders>
            <w:gridSpan w:val="15"/>
          </w:tcPr>
          <w:p>
            <w:pPr>
              <w:ind w:left="20"/>
              <w:spacing w:after="0"/>
              <w:rPr>
                <w:sz w:val="20"/>
                <w:szCs w:val="20"/>
                <w:color w:val="auto"/>
              </w:rPr>
            </w:pPr>
            <w:r>
              <w:rPr>
                <w:rFonts w:ascii="Calibri" w:cs="Calibri" w:eastAsia="Calibri" w:hAnsi="Calibri"/>
                <w:sz w:val="20"/>
                <w:szCs w:val="20"/>
                <w:color w:val="0000EE"/>
                <w:w w:val="95"/>
              </w:rPr>
              <w:t>Transferability of Awards</w:t>
            </w:r>
          </w:p>
        </w:tc>
        <w:tc>
          <w:tcPr>
            <w:tcW w:w="300" w:type="dxa"/>
            <w:vAlign w:val="bottom"/>
            <w:gridSpan w:val="3"/>
          </w:tcPr>
          <w:p>
            <w:pPr>
              <w:spacing w:after="0"/>
              <w:rPr>
                <w:sz w:val="24"/>
                <w:szCs w:val="24"/>
                <w:color w:val="auto"/>
              </w:rPr>
            </w:pPr>
          </w:p>
        </w:tc>
        <w:tc>
          <w:tcPr>
            <w:tcW w:w="400" w:type="dxa"/>
            <w:vAlign w:val="bottom"/>
            <w:gridSpan w:val="10"/>
          </w:tcPr>
          <w:p>
            <w:pPr>
              <w:spacing w:after="0"/>
              <w:rPr>
                <w:sz w:val="24"/>
                <w:szCs w:val="24"/>
                <w:color w:val="auto"/>
              </w:rPr>
            </w:pPr>
          </w:p>
        </w:tc>
        <w:tc>
          <w:tcPr>
            <w:tcW w:w="220" w:type="dxa"/>
            <w:vAlign w:val="bottom"/>
            <w:tcBorders>
              <w:bottom w:val="single" w:sz="8" w:color="0000EE"/>
            </w:tcBorders>
            <w:gridSpan w:val="2"/>
          </w:tcPr>
          <w:p>
            <w:pPr>
              <w:jc w:val="right"/>
              <w:ind w:right="20"/>
              <w:spacing w:after="0"/>
              <w:rPr>
                <w:sz w:val="20"/>
                <w:szCs w:val="20"/>
                <w:color w:val="auto"/>
              </w:rPr>
            </w:pPr>
            <w:r>
              <w:rPr>
                <w:rFonts w:ascii="Calibri" w:cs="Calibri" w:eastAsia="Calibri" w:hAnsi="Calibri"/>
                <w:sz w:val="20"/>
                <w:szCs w:val="20"/>
                <w:color w:val="0000EE"/>
                <w:w w:val="88"/>
              </w:rPr>
              <w:t>20</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1280" w:type="dxa"/>
            <w:vAlign w:val="bottom"/>
          </w:tcPr>
          <w:p>
            <w:pPr>
              <w:spacing w:after="0"/>
              <w:rPr>
                <w:sz w:val="24"/>
                <w:szCs w:val="24"/>
                <w:color w:val="auto"/>
              </w:rPr>
            </w:pPr>
          </w:p>
        </w:tc>
        <w:tc>
          <w:tcPr>
            <w:tcW w:w="2700" w:type="dxa"/>
            <w:vAlign w:val="bottom"/>
            <w:gridSpan w:val="28"/>
          </w:tcPr>
          <w:p>
            <w:pPr>
              <w:ind w:left="20"/>
              <w:spacing w:after="0"/>
              <w:rPr>
                <w:sz w:val="20"/>
                <w:szCs w:val="20"/>
                <w:color w:val="auto"/>
              </w:rPr>
            </w:pPr>
            <w:r>
              <w:rPr>
                <w:rFonts w:ascii="Calibri" w:cs="Calibri" w:eastAsia="Calibri" w:hAnsi="Calibri"/>
                <w:sz w:val="20"/>
                <w:szCs w:val="20"/>
                <w:color w:val="0000EE"/>
              </w:rPr>
              <w:t>Conditons to Issuance of Shares</w:t>
            </w:r>
          </w:p>
        </w:tc>
        <w:tc>
          <w:tcPr>
            <w:tcW w:w="34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Calibri" w:cs="Calibri" w:eastAsia="Calibri" w:hAnsi="Calibri"/>
                <w:sz w:val="20"/>
                <w:szCs w:val="20"/>
                <w:color w:val="0000EE"/>
              </w:rPr>
              <w:t>21</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1280" w:type="dxa"/>
            <w:vAlign w:val="bottom"/>
          </w:tcPr>
          <w:p>
            <w:pPr>
              <w:spacing w:after="0"/>
              <w:rPr>
                <w:sz w:val="24"/>
                <w:szCs w:val="24"/>
                <w:color w:val="auto"/>
              </w:rPr>
            </w:pPr>
          </w:p>
        </w:tc>
        <w:tc>
          <w:tcPr>
            <w:tcW w:w="2920" w:type="dxa"/>
            <w:vAlign w:val="bottom"/>
            <w:gridSpan w:val="30"/>
          </w:tcPr>
          <w:p>
            <w:pPr>
              <w:ind w:left="20"/>
              <w:spacing w:after="0"/>
              <w:rPr>
                <w:sz w:val="20"/>
                <w:szCs w:val="20"/>
                <w:color w:val="auto"/>
              </w:rPr>
            </w:pPr>
            <w:r>
              <w:rPr>
                <w:rFonts w:ascii="Calibri" w:cs="Calibri" w:eastAsia="Calibri" w:hAnsi="Calibri"/>
                <w:sz w:val="20"/>
                <w:szCs w:val="20"/>
                <w:color w:val="0000EE"/>
                <w:w w:val="98"/>
              </w:rPr>
              <w:t>Forfeiture and Claw-Back Provisions</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gridSpan w:val="5"/>
          </w:tcPr>
          <w:p>
            <w:pPr>
              <w:jc w:val="right"/>
              <w:spacing w:after="0"/>
              <w:rPr>
                <w:sz w:val="20"/>
                <w:szCs w:val="20"/>
                <w:color w:val="auto"/>
              </w:rPr>
            </w:pPr>
            <w:r>
              <w:rPr>
                <w:rFonts w:ascii="Calibri" w:cs="Calibri" w:eastAsia="Calibri" w:hAnsi="Calibri"/>
                <w:sz w:val="20"/>
                <w:szCs w:val="20"/>
                <w:color w:val="0000EE"/>
              </w:rPr>
              <w:t>22</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1640" w:type="dxa"/>
            <w:vAlign w:val="bottom"/>
            <w:tcBorders>
              <w:bottom w:val="single" w:sz="8" w:color="0000EE"/>
            </w:tcBorders>
            <w:gridSpan w:val="3"/>
          </w:tcPr>
          <w:p>
            <w:pPr>
              <w:ind w:left="180"/>
              <w:spacing w:after="0"/>
              <w:rPr>
                <w:sz w:val="20"/>
                <w:szCs w:val="20"/>
                <w:color w:val="auto"/>
              </w:rPr>
            </w:pPr>
            <w:r>
              <w:rPr>
                <w:rFonts w:ascii="Calibri" w:cs="Calibri" w:eastAsia="Calibri" w:hAnsi="Calibri"/>
                <w:sz w:val="20"/>
                <w:szCs w:val="20"/>
                <w:color w:val="0000EE"/>
                <w:w w:val="98"/>
              </w:rPr>
              <w:t>ADMINISTRATION</w:t>
            </w:r>
          </w:p>
        </w:tc>
        <w:tc>
          <w:tcPr>
            <w:tcW w:w="4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220" w:type="dxa"/>
            <w:vAlign w:val="bottom"/>
            <w:tcBorders>
              <w:bottom w:val="single" w:sz="8" w:color="0000EE"/>
            </w:tcBorders>
            <w:gridSpan w:val="3"/>
          </w:tcPr>
          <w:p>
            <w:pPr>
              <w:jc w:val="right"/>
              <w:spacing w:after="0"/>
              <w:rPr>
                <w:sz w:val="20"/>
                <w:szCs w:val="20"/>
                <w:color w:val="auto"/>
              </w:rPr>
            </w:pPr>
            <w:r>
              <w:rPr>
                <w:rFonts w:ascii="Calibri" w:cs="Calibri" w:eastAsia="Calibri" w:hAnsi="Calibri"/>
                <w:sz w:val="20"/>
                <w:szCs w:val="20"/>
                <w:color w:val="0000EE"/>
                <w:w w:val="98"/>
              </w:rPr>
              <w:t>22</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1280" w:type="dxa"/>
            <w:vAlign w:val="bottom"/>
          </w:tcPr>
          <w:p>
            <w:pPr>
              <w:spacing w:after="0"/>
              <w:rPr>
                <w:sz w:val="24"/>
                <w:szCs w:val="24"/>
                <w:color w:val="auto"/>
              </w:rPr>
            </w:pPr>
          </w:p>
        </w:tc>
        <w:tc>
          <w:tcPr>
            <w:tcW w:w="1160" w:type="dxa"/>
            <w:vAlign w:val="bottom"/>
            <w:gridSpan w:val="7"/>
          </w:tcPr>
          <w:p>
            <w:pPr>
              <w:ind w:left="20"/>
              <w:spacing w:after="0"/>
              <w:rPr>
                <w:sz w:val="20"/>
                <w:szCs w:val="20"/>
                <w:color w:val="auto"/>
              </w:rPr>
            </w:pPr>
            <w:r>
              <w:rPr>
                <w:rFonts w:ascii="Calibri" w:cs="Calibri" w:eastAsia="Calibri" w:hAnsi="Calibri"/>
                <w:sz w:val="20"/>
                <w:szCs w:val="20"/>
                <w:color w:val="0000EE"/>
                <w:w w:val="97"/>
              </w:rPr>
              <w:t>Administrator</w:t>
            </w:r>
          </w:p>
        </w:tc>
        <w:tc>
          <w:tcPr>
            <w:tcW w:w="460" w:type="dxa"/>
            <w:vAlign w:val="bottom"/>
            <w:gridSpan w:val="5"/>
          </w:tcPr>
          <w:p>
            <w:pPr>
              <w:spacing w:after="0"/>
              <w:rPr>
                <w:sz w:val="24"/>
                <w:szCs w:val="24"/>
                <w:color w:val="auto"/>
              </w:rPr>
            </w:pPr>
          </w:p>
        </w:tc>
        <w:tc>
          <w:tcPr>
            <w:tcW w:w="380" w:type="dxa"/>
            <w:vAlign w:val="bottom"/>
            <w:gridSpan w:val="3"/>
          </w:tcPr>
          <w:p>
            <w:pPr>
              <w:jc w:val="right"/>
              <w:spacing w:after="0"/>
              <w:rPr>
                <w:sz w:val="20"/>
                <w:szCs w:val="20"/>
                <w:color w:val="auto"/>
              </w:rPr>
            </w:pPr>
            <w:r>
              <w:rPr>
                <w:rFonts w:ascii="Calibri" w:cs="Calibri" w:eastAsia="Calibri" w:hAnsi="Calibri"/>
                <w:sz w:val="20"/>
                <w:szCs w:val="20"/>
                <w:color w:val="0000EE"/>
              </w:rPr>
              <w:t>22</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1280" w:type="dxa"/>
            <w:vAlign w:val="bottom"/>
          </w:tcPr>
          <w:p>
            <w:pPr>
              <w:spacing w:after="0"/>
              <w:rPr>
                <w:sz w:val="24"/>
                <w:szCs w:val="24"/>
                <w:color w:val="auto"/>
              </w:rPr>
            </w:pPr>
          </w:p>
        </w:tc>
        <w:tc>
          <w:tcPr>
            <w:tcW w:w="2720" w:type="dxa"/>
            <w:vAlign w:val="bottom"/>
            <w:gridSpan w:val="29"/>
          </w:tcPr>
          <w:p>
            <w:pPr>
              <w:ind w:left="20"/>
              <w:spacing w:after="0"/>
              <w:rPr>
                <w:sz w:val="20"/>
                <w:szCs w:val="20"/>
                <w:color w:val="auto"/>
              </w:rPr>
            </w:pPr>
            <w:r>
              <w:rPr>
                <w:rFonts w:ascii="Calibri" w:cs="Calibri" w:eastAsia="Calibri" w:hAnsi="Calibri"/>
                <w:sz w:val="20"/>
                <w:szCs w:val="20"/>
                <w:color w:val="0000EE"/>
              </w:rPr>
              <w:t>Dutes and Powers of Commitee</w:t>
            </w:r>
          </w:p>
        </w:tc>
        <w:tc>
          <w:tcPr>
            <w:tcW w:w="3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Calibri" w:cs="Calibri" w:eastAsia="Calibri" w:hAnsi="Calibri"/>
                <w:sz w:val="20"/>
                <w:szCs w:val="20"/>
                <w:color w:val="0000EE"/>
              </w:rPr>
              <w:t>22</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1280" w:type="dxa"/>
            <w:vAlign w:val="bottom"/>
          </w:tcPr>
          <w:p>
            <w:pPr>
              <w:spacing w:after="0"/>
              <w:rPr>
                <w:sz w:val="24"/>
                <w:szCs w:val="24"/>
                <w:color w:val="auto"/>
              </w:rPr>
            </w:pPr>
          </w:p>
        </w:tc>
        <w:tc>
          <w:tcPr>
            <w:tcW w:w="2080" w:type="dxa"/>
            <w:vAlign w:val="bottom"/>
            <w:gridSpan w:val="16"/>
          </w:tcPr>
          <w:p>
            <w:pPr>
              <w:ind w:left="20"/>
              <w:spacing w:after="0"/>
              <w:rPr>
                <w:sz w:val="20"/>
                <w:szCs w:val="20"/>
                <w:color w:val="auto"/>
              </w:rPr>
            </w:pPr>
            <w:r>
              <w:rPr>
                <w:rFonts w:ascii="Calibri" w:cs="Calibri" w:eastAsia="Calibri" w:hAnsi="Calibri"/>
                <w:sz w:val="20"/>
                <w:szCs w:val="20"/>
                <w:color w:val="0000EE"/>
              </w:rPr>
              <w:t>Acton by the Commitee</w:t>
            </w:r>
          </w:p>
        </w:tc>
        <w:tc>
          <w:tcPr>
            <w:tcW w:w="220" w:type="dxa"/>
            <w:vAlign w:val="bottom"/>
            <w:gridSpan w:val="2"/>
          </w:tcPr>
          <w:p>
            <w:pPr>
              <w:spacing w:after="0"/>
              <w:rPr>
                <w:sz w:val="24"/>
                <w:szCs w:val="24"/>
                <w:color w:val="auto"/>
              </w:rPr>
            </w:pPr>
          </w:p>
        </w:tc>
        <w:tc>
          <w:tcPr>
            <w:tcW w:w="620" w:type="dxa"/>
            <w:vAlign w:val="bottom"/>
            <w:gridSpan w:val="12"/>
          </w:tcPr>
          <w:p>
            <w:pPr>
              <w:jc w:val="right"/>
              <w:spacing w:after="0"/>
              <w:rPr>
                <w:sz w:val="20"/>
                <w:szCs w:val="20"/>
                <w:color w:val="auto"/>
              </w:rPr>
            </w:pPr>
            <w:r>
              <w:rPr>
                <w:rFonts w:ascii="Calibri" w:cs="Calibri" w:eastAsia="Calibri" w:hAnsi="Calibri"/>
                <w:sz w:val="20"/>
                <w:szCs w:val="20"/>
                <w:color w:val="0000EE"/>
              </w:rPr>
              <w:t>23</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1280" w:type="dxa"/>
            <w:vAlign w:val="bottom"/>
          </w:tcPr>
          <w:p>
            <w:pPr>
              <w:spacing w:after="0"/>
              <w:rPr>
                <w:sz w:val="24"/>
                <w:szCs w:val="24"/>
                <w:color w:val="auto"/>
              </w:rPr>
            </w:pPr>
          </w:p>
        </w:tc>
        <w:tc>
          <w:tcPr>
            <w:tcW w:w="2300" w:type="dxa"/>
            <w:vAlign w:val="bottom"/>
            <w:gridSpan w:val="18"/>
          </w:tcPr>
          <w:p>
            <w:pPr>
              <w:ind w:left="20"/>
              <w:spacing w:after="0"/>
              <w:rPr>
                <w:sz w:val="20"/>
                <w:szCs w:val="20"/>
                <w:color w:val="auto"/>
              </w:rPr>
            </w:pPr>
            <w:r>
              <w:rPr>
                <w:rFonts w:ascii="Calibri" w:cs="Calibri" w:eastAsia="Calibri" w:hAnsi="Calibri"/>
                <w:sz w:val="20"/>
                <w:szCs w:val="20"/>
                <w:color w:val="0000EE"/>
              </w:rPr>
              <w:t>Authority of Administrator</w:t>
            </w:r>
          </w:p>
        </w:tc>
        <w:tc>
          <w:tcPr>
            <w:tcW w:w="740" w:type="dxa"/>
            <w:vAlign w:val="bottom"/>
            <w:gridSpan w:val="13"/>
          </w:tcPr>
          <w:p>
            <w:pPr>
              <w:jc w:val="right"/>
              <w:spacing w:after="0"/>
              <w:rPr>
                <w:sz w:val="20"/>
                <w:szCs w:val="20"/>
                <w:color w:val="auto"/>
              </w:rPr>
            </w:pPr>
            <w:r>
              <w:rPr>
                <w:rFonts w:ascii="Calibri" w:cs="Calibri" w:eastAsia="Calibri" w:hAnsi="Calibri"/>
                <w:sz w:val="20"/>
                <w:szCs w:val="20"/>
                <w:color w:val="0000EE"/>
              </w:rPr>
              <w:t>23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1280" w:type="dxa"/>
            <w:vAlign w:val="bottom"/>
          </w:tcPr>
          <w:p>
            <w:pPr>
              <w:spacing w:after="0"/>
              <w:rPr>
                <w:sz w:val="24"/>
                <w:szCs w:val="24"/>
                <w:color w:val="auto"/>
              </w:rPr>
            </w:pPr>
          </w:p>
        </w:tc>
        <w:tc>
          <w:tcPr>
            <w:tcW w:w="1620" w:type="dxa"/>
            <w:vAlign w:val="bottom"/>
            <w:gridSpan w:val="12"/>
          </w:tcPr>
          <w:p>
            <w:pPr>
              <w:ind w:left="20"/>
              <w:spacing w:after="0"/>
              <w:rPr>
                <w:sz w:val="20"/>
                <w:szCs w:val="20"/>
                <w:color w:val="auto"/>
              </w:rPr>
            </w:pPr>
            <w:r>
              <w:rPr>
                <w:rFonts w:ascii="Calibri" w:cs="Calibri" w:eastAsia="Calibri" w:hAnsi="Calibri"/>
                <w:sz w:val="20"/>
                <w:szCs w:val="20"/>
                <w:color w:val="0000EE"/>
              </w:rPr>
              <w:t>Decisions Binding</w:t>
            </w:r>
          </w:p>
        </w:tc>
        <w:tc>
          <w:tcPr>
            <w:tcW w:w="680" w:type="dxa"/>
            <w:vAlign w:val="bottom"/>
            <w:gridSpan w:val="6"/>
          </w:tcPr>
          <w:p>
            <w:pPr>
              <w:jc w:val="right"/>
              <w:spacing w:after="0"/>
              <w:rPr>
                <w:sz w:val="20"/>
                <w:szCs w:val="20"/>
                <w:color w:val="auto"/>
              </w:rPr>
            </w:pPr>
            <w:r>
              <w:rPr>
                <w:rFonts w:ascii="Calibri" w:cs="Calibri" w:eastAsia="Calibri" w:hAnsi="Calibri"/>
                <w:sz w:val="20"/>
                <w:szCs w:val="20"/>
                <w:color w:val="0000EE"/>
              </w:rPr>
              <w:t>24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1280" w:type="dxa"/>
            <w:vAlign w:val="bottom"/>
          </w:tcPr>
          <w:p>
            <w:pPr>
              <w:spacing w:after="0"/>
              <w:rPr>
                <w:sz w:val="24"/>
                <w:szCs w:val="24"/>
                <w:color w:val="auto"/>
              </w:rPr>
            </w:pPr>
          </w:p>
        </w:tc>
        <w:tc>
          <w:tcPr>
            <w:tcW w:w="1940" w:type="dxa"/>
            <w:vAlign w:val="bottom"/>
            <w:tcBorders>
              <w:bottom w:val="single" w:sz="8" w:color="0000EE"/>
            </w:tcBorders>
            <w:gridSpan w:val="13"/>
          </w:tcPr>
          <w:p>
            <w:pPr>
              <w:ind w:left="20"/>
              <w:spacing w:after="0"/>
              <w:rPr>
                <w:sz w:val="20"/>
                <w:szCs w:val="20"/>
                <w:color w:val="auto"/>
              </w:rPr>
            </w:pPr>
            <w:r>
              <w:rPr>
                <w:rFonts w:ascii="Calibri" w:cs="Calibri" w:eastAsia="Calibri" w:hAnsi="Calibri"/>
                <w:sz w:val="20"/>
                <w:szCs w:val="20"/>
                <w:color w:val="0000EE"/>
              </w:rPr>
              <w:t>Delegaton of Authority</w:t>
            </w:r>
          </w:p>
        </w:tc>
        <w:tc>
          <w:tcPr>
            <w:tcW w:w="360" w:type="dxa"/>
            <w:vAlign w:val="bottom"/>
            <w:gridSpan w:val="5"/>
          </w:tcPr>
          <w:p>
            <w:pPr>
              <w:spacing w:after="0"/>
              <w:rPr>
                <w:sz w:val="24"/>
                <w:szCs w:val="24"/>
                <w:color w:val="auto"/>
              </w:rPr>
            </w:pPr>
          </w:p>
        </w:tc>
        <w:tc>
          <w:tcPr>
            <w:tcW w:w="280" w:type="dxa"/>
            <w:vAlign w:val="bottom"/>
            <w:gridSpan w:val="7"/>
          </w:tcPr>
          <w:p>
            <w:pPr>
              <w:spacing w:after="0"/>
              <w:rPr>
                <w:sz w:val="24"/>
                <w:szCs w:val="24"/>
                <w:color w:val="auto"/>
              </w:rPr>
            </w:pPr>
          </w:p>
        </w:tc>
        <w:tc>
          <w:tcPr>
            <w:tcW w:w="140" w:type="dxa"/>
            <w:vAlign w:val="bottom"/>
            <w:tcBorders>
              <w:bottom w:val="single" w:sz="8" w:color="0000EE"/>
            </w:tcBorders>
            <w:gridSpan w:val="4"/>
          </w:tcPr>
          <w:p>
            <w:pPr>
              <w:jc w:val="right"/>
              <w:spacing w:after="0"/>
              <w:rPr>
                <w:sz w:val="20"/>
                <w:szCs w:val="20"/>
                <w:color w:val="auto"/>
              </w:rPr>
            </w:pPr>
            <w:r>
              <w:rPr>
                <w:rFonts w:ascii="Calibri" w:cs="Calibri" w:eastAsia="Calibri" w:hAnsi="Calibri"/>
                <w:sz w:val="20"/>
                <w:szCs w:val="20"/>
                <w:color w:val="0000EE"/>
                <w:w w:val="88"/>
              </w:rPr>
              <w:t>24</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2900" w:type="dxa"/>
            <w:vAlign w:val="bottom"/>
            <w:gridSpan w:val="13"/>
          </w:tcPr>
          <w:p>
            <w:pPr>
              <w:ind w:left="180"/>
              <w:spacing w:after="0"/>
              <w:rPr>
                <w:sz w:val="20"/>
                <w:szCs w:val="20"/>
                <w:color w:val="auto"/>
              </w:rPr>
            </w:pPr>
            <w:r>
              <w:rPr>
                <w:rFonts w:ascii="Calibri" w:cs="Calibri" w:eastAsia="Calibri" w:hAnsi="Calibri"/>
                <w:sz w:val="20"/>
                <w:szCs w:val="20"/>
                <w:color w:val="0000EE"/>
              </w:rPr>
              <w:t>MISCELLANEOUS PROVISIONS</w:t>
            </w:r>
          </w:p>
        </w:tc>
        <w:tc>
          <w:tcPr>
            <w:tcW w:w="560" w:type="dxa"/>
            <w:vAlign w:val="bottom"/>
            <w:gridSpan w:val="5"/>
          </w:tcPr>
          <w:p>
            <w:pPr>
              <w:jc w:val="right"/>
              <w:spacing w:after="0"/>
              <w:rPr>
                <w:sz w:val="20"/>
                <w:szCs w:val="20"/>
                <w:color w:val="auto"/>
              </w:rPr>
            </w:pPr>
            <w:r>
              <w:rPr>
                <w:rFonts w:ascii="Calibri" w:cs="Calibri" w:eastAsia="Calibri" w:hAnsi="Calibri"/>
                <w:sz w:val="20"/>
                <w:szCs w:val="20"/>
                <w:color w:val="0000EE"/>
              </w:rPr>
              <w:t>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4"/>
        </w:trPr>
        <w:tc>
          <w:tcPr>
            <w:tcW w:w="1280" w:type="dxa"/>
            <w:vAlign w:val="bottom"/>
          </w:tcPr>
          <w:p>
            <w:pPr>
              <w:spacing w:after="0"/>
              <w:rPr>
                <w:sz w:val="24"/>
                <w:szCs w:val="24"/>
                <w:color w:val="auto"/>
              </w:rPr>
            </w:pPr>
          </w:p>
        </w:tc>
        <w:tc>
          <w:tcPr>
            <w:tcW w:w="4260" w:type="dxa"/>
            <w:vAlign w:val="bottom"/>
            <w:tcBorders>
              <w:bottom w:val="single" w:sz="8" w:color="0000EE"/>
            </w:tcBorders>
            <w:gridSpan w:val="41"/>
          </w:tcPr>
          <w:p>
            <w:pPr>
              <w:ind w:left="20"/>
              <w:spacing w:after="0"/>
              <w:rPr>
                <w:sz w:val="20"/>
                <w:szCs w:val="20"/>
                <w:color w:val="auto"/>
              </w:rPr>
            </w:pPr>
            <w:r>
              <w:rPr>
                <w:rFonts w:ascii="Calibri" w:cs="Calibri" w:eastAsia="Calibri" w:hAnsi="Calibri"/>
                <w:sz w:val="20"/>
                <w:szCs w:val="20"/>
                <w:color w:val="0000EE"/>
              </w:rPr>
              <w:t>Amendment, Suspension or Terminaton of the Plan</w:t>
            </w:r>
          </w:p>
        </w:tc>
        <w:tc>
          <w:tcPr>
            <w:tcW w:w="180" w:type="dxa"/>
            <w:vAlign w:val="bottom"/>
          </w:tcPr>
          <w:p>
            <w:pPr>
              <w:spacing w:after="0"/>
              <w:rPr>
                <w:sz w:val="24"/>
                <w:szCs w:val="24"/>
                <w:color w:val="auto"/>
              </w:rPr>
            </w:pPr>
          </w:p>
        </w:tc>
        <w:tc>
          <w:tcPr>
            <w:tcW w:w="460" w:type="dxa"/>
            <w:vAlign w:val="bottom"/>
            <w:gridSpan w:val="4"/>
          </w:tcPr>
          <w:p>
            <w:pPr>
              <w:spacing w:after="0"/>
              <w:rPr>
                <w:sz w:val="24"/>
                <w:szCs w:val="24"/>
                <w:color w:val="auto"/>
              </w:rPr>
            </w:pPr>
          </w:p>
        </w:tc>
        <w:tc>
          <w:tcPr>
            <w:tcW w:w="220" w:type="dxa"/>
            <w:vAlign w:val="bottom"/>
            <w:tcBorders>
              <w:bottom w:val="single" w:sz="8" w:color="0000EE"/>
            </w:tcBorders>
          </w:tcPr>
          <w:p>
            <w:pPr>
              <w:jc w:val="right"/>
              <w:spacing w:after="0"/>
              <w:rPr>
                <w:sz w:val="20"/>
                <w:szCs w:val="20"/>
                <w:color w:val="auto"/>
              </w:rPr>
            </w:pPr>
            <w:r>
              <w:rPr>
                <w:rFonts w:ascii="Calibri" w:cs="Calibri" w:eastAsia="Calibri" w:hAnsi="Calibri"/>
                <w:sz w:val="20"/>
                <w:szCs w:val="20"/>
                <w:color w:val="0000EE"/>
                <w:w w:val="88"/>
              </w:rPr>
              <w:t>24</w:t>
            </w: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1280" w:type="dxa"/>
            <w:vAlign w:val="bottom"/>
          </w:tcPr>
          <w:p>
            <w:pPr>
              <w:spacing w:after="0"/>
              <w:rPr>
                <w:sz w:val="24"/>
                <w:szCs w:val="24"/>
                <w:color w:val="auto"/>
              </w:rPr>
            </w:pPr>
          </w:p>
        </w:tc>
        <w:tc>
          <w:tcPr>
            <w:tcW w:w="7920" w:type="dxa"/>
            <w:vAlign w:val="bottom"/>
            <w:gridSpan w:val="50"/>
          </w:tcPr>
          <w:p>
            <w:pPr>
              <w:ind w:left="20"/>
              <w:spacing w:after="0"/>
              <w:rPr>
                <w:sz w:val="20"/>
                <w:szCs w:val="20"/>
                <w:color w:val="auto"/>
              </w:rPr>
            </w:pPr>
            <w:r>
              <w:rPr>
                <w:rFonts w:ascii="Calibri" w:cs="Calibri" w:eastAsia="Calibri" w:hAnsi="Calibri"/>
                <w:sz w:val="20"/>
                <w:szCs w:val="20"/>
                <w:color w:val="0000EE"/>
              </w:rPr>
              <w:t>Changes in Common Stock or Assets of the Company, Acquisiton or Liquidaton of the</w:t>
            </w:r>
          </w:p>
        </w:tc>
      </w:tr>
      <w:tr>
        <w:trPr>
          <w:trHeight w:val="196"/>
        </w:trPr>
        <w:tc>
          <w:tcPr>
            <w:tcW w:w="1280" w:type="dxa"/>
            <w:vAlign w:val="bottom"/>
          </w:tcPr>
          <w:p>
            <w:pPr>
              <w:spacing w:after="0"/>
              <w:rPr>
                <w:sz w:val="17"/>
                <w:szCs w:val="17"/>
                <w:color w:val="auto"/>
              </w:rPr>
            </w:pPr>
          </w:p>
        </w:tc>
        <w:tc>
          <w:tcPr>
            <w:tcW w:w="3120" w:type="dxa"/>
            <w:vAlign w:val="bottom"/>
            <w:tcBorders>
              <w:top w:val="single" w:sz="8" w:color="0000EE"/>
            </w:tcBorders>
            <w:gridSpan w:val="33"/>
          </w:tcPr>
          <w:p>
            <w:pPr>
              <w:ind w:left="20"/>
              <w:spacing w:after="0" w:line="196" w:lineRule="exact"/>
              <w:rPr>
                <w:sz w:val="20"/>
                <w:szCs w:val="20"/>
                <w:color w:val="auto"/>
              </w:rPr>
            </w:pPr>
            <w:r>
              <w:rPr>
                <w:rFonts w:ascii="Calibri" w:cs="Calibri" w:eastAsia="Calibri" w:hAnsi="Calibri"/>
                <w:sz w:val="20"/>
                <w:szCs w:val="20"/>
                <w:color w:val="0000EE"/>
                <w:w w:val="99"/>
              </w:rPr>
              <w:t>Company and Other Corporate Events</w:t>
            </w:r>
          </w:p>
        </w:tc>
        <w:tc>
          <w:tcPr>
            <w:tcW w:w="860" w:type="dxa"/>
            <w:vAlign w:val="bottom"/>
            <w:tcBorders>
              <w:top w:val="single" w:sz="8" w:color="0000EE"/>
            </w:tcBorders>
            <w:gridSpan w:val="6"/>
          </w:tcPr>
          <w:p>
            <w:pPr>
              <w:jc w:val="right"/>
              <w:spacing w:after="0" w:line="196" w:lineRule="exact"/>
              <w:rPr>
                <w:sz w:val="20"/>
                <w:szCs w:val="20"/>
                <w:color w:val="auto"/>
              </w:rPr>
            </w:pPr>
            <w:r>
              <w:rPr>
                <w:rFonts w:ascii="Calibri" w:cs="Calibri" w:eastAsia="Calibri" w:hAnsi="Calibri"/>
                <w:sz w:val="20"/>
                <w:szCs w:val="20"/>
                <w:color w:val="0000EE"/>
              </w:rPr>
              <w:t>25</w:t>
            </w: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60" w:type="dxa"/>
            <w:vAlign w:val="bottom"/>
          </w:tcPr>
          <w:p>
            <w:pPr>
              <w:spacing w:after="0"/>
              <w:rPr>
                <w:sz w:val="17"/>
                <w:szCs w:val="17"/>
                <w:color w:val="auto"/>
              </w:rPr>
            </w:pPr>
          </w:p>
        </w:tc>
      </w:tr>
      <w:tr>
        <w:trPr>
          <w:trHeight w:val="331"/>
        </w:trPr>
        <w:tc>
          <w:tcPr>
            <w:tcW w:w="1280" w:type="dxa"/>
            <w:vAlign w:val="bottom"/>
          </w:tcPr>
          <w:p>
            <w:pPr>
              <w:spacing w:after="0"/>
              <w:rPr>
                <w:sz w:val="24"/>
                <w:szCs w:val="24"/>
                <w:color w:val="auto"/>
              </w:rPr>
            </w:pPr>
          </w:p>
        </w:tc>
        <w:tc>
          <w:tcPr>
            <w:tcW w:w="2720" w:type="dxa"/>
            <w:vAlign w:val="bottom"/>
            <w:tcBorders>
              <w:top w:val="single" w:sz="8" w:color="0000EE"/>
            </w:tcBorders>
            <w:gridSpan w:val="29"/>
          </w:tcPr>
          <w:p>
            <w:pPr>
              <w:ind w:left="20"/>
              <w:spacing w:after="0"/>
              <w:rPr>
                <w:sz w:val="20"/>
                <w:szCs w:val="20"/>
                <w:color w:val="auto"/>
              </w:rPr>
            </w:pPr>
            <w:r>
              <w:rPr>
                <w:rFonts w:ascii="Calibri" w:cs="Calibri" w:eastAsia="Calibri" w:hAnsi="Calibri"/>
                <w:sz w:val="20"/>
                <w:szCs w:val="20"/>
                <w:color w:val="0000EE"/>
                <w:w w:val="99"/>
              </w:rPr>
              <w:t>Approval of Plan by Stockholders</w:t>
            </w:r>
          </w:p>
        </w:tc>
        <w:tc>
          <w:tcPr>
            <w:tcW w:w="320" w:type="dxa"/>
            <w:vAlign w:val="bottom"/>
            <w:tcBorders>
              <w:top w:val="single" w:sz="8" w:color="0000EE"/>
            </w:tcBorders>
            <w:gridSpan w:val="2"/>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gridSpan w:val="3"/>
          </w:tcPr>
          <w:p>
            <w:pPr>
              <w:jc w:val="right"/>
              <w:spacing w:after="0"/>
              <w:rPr>
                <w:sz w:val="20"/>
                <w:szCs w:val="20"/>
                <w:color w:val="auto"/>
              </w:rPr>
            </w:pPr>
            <w:r>
              <w:rPr>
                <w:rFonts w:ascii="Calibri" w:cs="Calibri" w:eastAsia="Calibri" w:hAnsi="Calibri"/>
                <w:sz w:val="20"/>
                <w:szCs w:val="20"/>
                <w:color w:val="0000EE"/>
              </w:rPr>
              <w:t>26</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1280" w:type="dxa"/>
            <w:vAlign w:val="bottom"/>
          </w:tcPr>
          <w:p>
            <w:pPr>
              <w:spacing w:after="0"/>
              <w:rPr>
                <w:sz w:val="24"/>
                <w:szCs w:val="24"/>
                <w:color w:val="auto"/>
              </w:rPr>
            </w:pPr>
          </w:p>
        </w:tc>
        <w:tc>
          <w:tcPr>
            <w:tcW w:w="1940" w:type="dxa"/>
            <w:vAlign w:val="bottom"/>
            <w:tcBorders>
              <w:bottom w:val="single" w:sz="8" w:color="0000EE"/>
            </w:tcBorders>
            <w:gridSpan w:val="13"/>
          </w:tcPr>
          <w:p>
            <w:pPr>
              <w:ind w:left="20"/>
              <w:spacing w:after="0"/>
              <w:rPr>
                <w:sz w:val="20"/>
                <w:szCs w:val="20"/>
                <w:color w:val="auto"/>
              </w:rPr>
            </w:pPr>
            <w:r>
              <w:rPr>
                <w:rFonts w:ascii="Calibri" w:cs="Calibri" w:eastAsia="Calibri" w:hAnsi="Calibri"/>
                <w:sz w:val="20"/>
                <w:szCs w:val="20"/>
                <w:color w:val="0000EE"/>
              </w:rPr>
              <w:t>No Stockholders Rights</w:t>
            </w:r>
          </w:p>
        </w:tc>
        <w:tc>
          <w:tcPr>
            <w:tcW w:w="360" w:type="dxa"/>
            <w:vAlign w:val="bottom"/>
            <w:gridSpan w:val="5"/>
          </w:tcPr>
          <w:p>
            <w:pPr>
              <w:spacing w:after="0"/>
              <w:rPr>
                <w:sz w:val="24"/>
                <w:szCs w:val="24"/>
                <w:color w:val="auto"/>
              </w:rPr>
            </w:pPr>
          </w:p>
        </w:tc>
        <w:tc>
          <w:tcPr>
            <w:tcW w:w="240" w:type="dxa"/>
            <w:vAlign w:val="bottom"/>
            <w:gridSpan w:val="6"/>
          </w:tcPr>
          <w:p>
            <w:pPr>
              <w:spacing w:after="0"/>
              <w:rPr>
                <w:sz w:val="24"/>
                <w:szCs w:val="24"/>
                <w:color w:val="auto"/>
              </w:rPr>
            </w:pPr>
          </w:p>
        </w:tc>
        <w:tc>
          <w:tcPr>
            <w:tcW w:w="180" w:type="dxa"/>
            <w:vAlign w:val="bottom"/>
            <w:tcBorders>
              <w:bottom w:val="single" w:sz="8" w:color="0000EE"/>
            </w:tcBorders>
            <w:gridSpan w:val="5"/>
          </w:tcPr>
          <w:p>
            <w:pPr>
              <w:jc w:val="right"/>
              <w:spacing w:after="0"/>
              <w:rPr>
                <w:sz w:val="20"/>
                <w:szCs w:val="20"/>
                <w:color w:val="auto"/>
              </w:rPr>
            </w:pPr>
            <w:r>
              <w:rPr>
                <w:rFonts w:ascii="Calibri" w:cs="Calibri" w:eastAsia="Calibri" w:hAnsi="Calibri"/>
                <w:sz w:val="20"/>
                <w:szCs w:val="20"/>
                <w:color w:val="0000EE"/>
                <w:w w:val="98"/>
              </w:rPr>
              <w:t>26</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1280" w:type="dxa"/>
            <w:vAlign w:val="bottom"/>
          </w:tcPr>
          <w:p>
            <w:pPr>
              <w:spacing w:after="0"/>
              <w:rPr>
                <w:sz w:val="24"/>
                <w:szCs w:val="24"/>
                <w:color w:val="auto"/>
              </w:rPr>
            </w:pPr>
          </w:p>
        </w:tc>
        <w:tc>
          <w:tcPr>
            <w:tcW w:w="2000" w:type="dxa"/>
            <w:vAlign w:val="bottom"/>
            <w:tcBorders>
              <w:bottom w:val="single" w:sz="8" w:color="0000EE"/>
            </w:tcBorders>
            <w:gridSpan w:val="15"/>
          </w:tcPr>
          <w:p>
            <w:pPr>
              <w:ind w:left="20"/>
              <w:spacing w:after="0"/>
              <w:rPr>
                <w:sz w:val="20"/>
                <w:szCs w:val="20"/>
                <w:color w:val="auto"/>
              </w:rPr>
            </w:pPr>
            <w:r>
              <w:rPr>
                <w:rFonts w:ascii="Calibri" w:cs="Calibri" w:eastAsia="Calibri" w:hAnsi="Calibri"/>
                <w:sz w:val="20"/>
                <w:szCs w:val="20"/>
                <w:color w:val="0000EE"/>
                <w:w w:val="97"/>
              </w:rPr>
              <w:t>Paperless Administraton</w:t>
            </w:r>
          </w:p>
        </w:tc>
        <w:tc>
          <w:tcPr>
            <w:tcW w:w="300" w:type="dxa"/>
            <w:vAlign w:val="bottom"/>
            <w:gridSpan w:val="3"/>
          </w:tcPr>
          <w:p>
            <w:pPr>
              <w:spacing w:after="0"/>
              <w:rPr>
                <w:sz w:val="24"/>
                <w:szCs w:val="24"/>
                <w:color w:val="auto"/>
              </w:rPr>
            </w:pPr>
          </w:p>
        </w:tc>
        <w:tc>
          <w:tcPr>
            <w:tcW w:w="400" w:type="dxa"/>
            <w:vAlign w:val="bottom"/>
            <w:gridSpan w:val="10"/>
          </w:tcPr>
          <w:p>
            <w:pPr>
              <w:spacing w:after="0"/>
              <w:rPr>
                <w:sz w:val="24"/>
                <w:szCs w:val="24"/>
                <w:color w:val="auto"/>
              </w:rPr>
            </w:pPr>
          </w:p>
        </w:tc>
        <w:tc>
          <w:tcPr>
            <w:tcW w:w="220" w:type="dxa"/>
            <w:vAlign w:val="bottom"/>
            <w:tcBorders>
              <w:bottom w:val="single" w:sz="8" w:color="0000EE"/>
            </w:tcBorders>
            <w:gridSpan w:val="2"/>
          </w:tcPr>
          <w:p>
            <w:pPr>
              <w:jc w:val="right"/>
              <w:ind w:right="20"/>
              <w:spacing w:after="0"/>
              <w:rPr>
                <w:sz w:val="20"/>
                <w:szCs w:val="20"/>
                <w:color w:val="auto"/>
              </w:rPr>
            </w:pPr>
            <w:r>
              <w:rPr>
                <w:rFonts w:ascii="Calibri" w:cs="Calibri" w:eastAsia="Calibri" w:hAnsi="Calibri"/>
                <w:sz w:val="20"/>
                <w:szCs w:val="20"/>
                <w:color w:val="0000EE"/>
                <w:w w:val="88"/>
              </w:rPr>
              <w:t>27</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1280" w:type="dxa"/>
            <w:vAlign w:val="bottom"/>
          </w:tcPr>
          <w:p>
            <w:pPr>
              <w:spacing w:after="0"/>
              <w:rPr>
                <w:sz w:val="24"/>
                <w:szCs w:val="24"/>
                <w:color w:val="auto"/>
              </w:rPr>
            </w:pPr>
          </w:p>
        </w:tc>
        <w:tc>
          <w:tcPr>
            <w:tcW w:w="4440" w:type="dxa"/>
            <w:vAlign w:val="bottom"/>
            <w:gridSpan w:val="42"/>
          </w:tcPr>
          <w:p>
            <w:pPr>
              <w:ind w:left="20"/>
              <w:spacing w:after="0"/>
              <w:rPr>
                <w:sz w:val="20"/>
                <w:szCs w:val="20"/>
                <w:color w:val="auto"/>
              </w:rPr>
            </w:pPr>
            <w:r>
              <w:rPr>
                <w:rFonts w:ascii="Calibri" w:cs="Calibri" w:eastAsia="Calibri" w:hAnsi="Calibri"/>
                <w:sz w:val="20"/>
                <w:szCs w:val="20"/>
                <w:color w:val="0000EE"/>
              </w:rPr>
              <w:t>Efect of Plan upon Other Compensaton Plans</w:t>
            </w:r>
          </w:p>
        </w:tc>
        <w:tc>
          <w:tcPr>
            <w:tcW w:w="200" w:type="dxa"/>
            <w:vAlign w:val="bottom"/>
          </w:tcPr>
          <w:p>
            <w:pPr>
              <w:jc w:val="right"/>
              <w:spacing w:after="0"/>
              <w:rPr>
                <w:sz w:val="20"/>
                <w:szCs w:val="20"/>
                <w:color w:val="auto"/>
              </w:rPr>
            </w:pPr>
            <w:r>
              <w:rPr>
                <w:rFonts w:ascii="Calibri" w:cs="Calibri" w:eastAsia="Calibri" w:hAnsi="Calibri"/>
                <w:sz w:val="20"/>
                <w:szCs w:val="20"/>
                <w:color w:val="0000EE"/>
                <w:w w:val="88"/>
              </w:rPr>
              <w:t>27</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5"/>
        </w:trPr>
        <w:tc>
          <w:tcPr>
            <w:tcW w:w="1280" w:type="dxa"/>
            <w:vAlign w:val="bottom"/>
          </w:tcPr>
          <w:p>
            <w:pPr>
              <w:spacing w:after="0"/>
              <w:rPr>
                <w:sz w:val="24"/>
                <w:szCs w:val="24"/>
                <w:color w:val="auto"/>
              </w:rPr>
            </w:pPr>
          </w:p>
        </w:tc>
        <w:tc>
          <w:tcPr>
            <w:tcW w:w="1940" w:type="dxa"/>
            <w:vAlign w:val="bottom"/>
            <w:tcBorders>
              <w:top w:val="single" w:sz="8" w:color="0000EE"/>
              <w:bottom w:val="single" w:sz="8" w:color="0000EE"/>
            </w:tcBorders>
            <w:gridSpan w:val="13"/>
          </w:tcPr>
          <w:p>
            <w:pPr>
              <w:ind w:left="20"/>
              <w:spacing w:after="0"/>
              <w:rPr>
                <w:sz w:val="20"/>
                <w:szCs w:val="20"/>
                <w:color w:val="auto"/>
              </w:rPr>
            </w:pPr>
            <w:r>
              <w:rPr>
                <w:rFonts w:ascii="Calibri" w:cs="Calibri" w:eastAsia="Calibri" w:hAnsi="Calibri"/>
                <w:sz w:val="20"/>
                <w:szCs w:val="20"/>
                <w:color w:val="0000EE"/>
              </w:rPr>
              <w:t>Compliance with Laws</w:t>
            </w:r>
          </w:p>
        </w:tc>
        <w:tc>
          <w:tcPr>
            <w:tcW w:w="360" w:type="dxa"/>
            <w:vAlign w:val="bottom"/>
            <w:tcBorders>
              <w:top w:val="single" w:sz="8" w:color="0000EE"/>
            </w:tcBorders>
            <w:gridSpan w:val="5"/>
          </w:tcPr>
          <w:p>
            <w:pPr>
              <w:spacing w:after="0"/>
              <w:rPr>
                <w:sz w:val="24"/>
                <w:szCs w:val="24"/>
                <w:color w:val="auto"/>
              </w:rPr>
            </w:pPr>
          </w:p>
        </w:tc>
        <w:tc>
          <w:tcPr>
            <w:tcW w:w="180" w:type="dxa"/>
            <w:vAlign w:val="bottom"/>
            <w:tcBorders>
              <w:top w:val="single" w:sz="8" w:color="0000EE"/>
            </w:tcBorders>
            <w:gridSpan w:val="4"/>
          </w:tcPr>
          <w:p>
            <w:pPr>
              <w:spacing w:after="0"/>
              <w:rPr>
                <w:sz w:val="24"/>
                <w:szCs w:val="24"/>
                <w:color w:val="auto"/>
              </w:rPr>
            </w:pPr>
          </w:p>
        </w:tc>
        <w:tc>
          <w:tcPr>
            <w:tcW w:w="220" w:type="dxa"/>
            <w:vAlign w:val="bottom"/>
            <w:tcBorders>
              <w:top w:val="single" w:sz="8" w:color="0000EE"/>
              <w:bottom w:val="single" w:sz="8" w:color="0000EE"/>
            </w:tcBorders>
            <w:gridSpan w:val="6"/>
          </w:tcPr>
          <w:p>
            <w:pPr>
              <w:jc w:val="right"/>
              <w:spacing w:after="0"/>
              <w:rPr>
                <w:sz w:val="20"/>
                <w:szCs w:val="20"/>
                <w:color w:val="auto"/>
              </w:rPr>
            </w:pPr>
            <w:r>
              <w:rPr>
                <w:rFonts w:ascii="Calibri" w:cs="Calibri" w:eastAsia="Calibri" w:hAnsi="Calibri"/>
                <w:sz w:val="20"/>
                <w:szCs w:val="20"/>
                <w:color w:val="0000EE"/>
                <w:w w:val="88"/>
              </w:rPr>
              <w:t>27</w:t>
            </w: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1280" w:type="dxa"/>
            <w:vAlign w:val="bottom"/>
          </w:tcPr>
          <w:p>
            <w:pPr>
              <w:spacing w:after="0"/>
              <w:rPr>
                <w:sz w:val="24"/>
                <w:szCs w:val="24"/>
                <w:color w:val="auto"/>
              </w:rPr>
            </w:pPr>
          </w:p>
        </w:tc>
        <w:tc>
          <w:tcPr>
            <w:tcW w:w="7920" w:type="dxa"/>
            <w:vAlign w:val="bottom"/>
            <w:gridSpan w:val="50"/>
          </w:tcPr>
          <w:p>
            <w:pPr>
              <w:ind w:left="20"/>
              <w:spacing w:after="0"/>
              <w:rPr>
                <w:sz w:val="20"/>
                <w:szCs w:val="20"/>
                <w:color w:val="auto"/>
              </w:rPr>
            </w:pPr>
            <w:r>
              <w:rPr>
                <w:rFonts w:ascii="Calibri" w:cs="Calibri" w:eastAsia="Calibri" w:hAnsi="Calibri"/>
                <w:sz w:val="20"/>
                <w:szCs w:val="20"/>
                <w:color w:val="0000EE"/>
              </w:rPr>
              <w:t>Titles and Headings, References to Sectons of the Code, Exchange Act or Securites</w:t>
            </w:r>
          </w:p>
        </w:tc>
      </w:tr>
      <w:tr>
        <w:trPr>
          <w:trHeight w:val="196"/>
        </w:trPr>
        <w:tc>
          <w:tcPr>
            <w:tcW w:w="1280" w:type="dxa"/>
            <w:vAlign w:val="bottom"/>
          </w:tcPr>
          <w:p>
            <w:pPr>
              <w:spacing w:after="0"/>
              <w:rPr>
                <w:sz w:val="17"/>
                <w:szCs w:val="17"/>
                <w:color w:val="auto"/>
              </w:rPr>
            </w:pPr>
          </w:p>
        </w:tc>
        <w:tc>
          <w:tcPr>
            <w:tcW w:w="280" w:type="dxa"/>
            <w:vAlign w:val="bottom"/>
            <w:tcBorders>
              <w:top w:val="single" w:sz="8" w:color="0000EE"/>
              <w:bottom w:val="single" w:sz="8" w:color="0000EE"/>
            </w:tcBorders>
          </w:tcPr>
          <w:p>
            <w:pPr>
              <w:ind w:left="20"/>
              <w:spacing w:after="0" w:line="196" w:lineRule="exact"/>
              <w:rPr>
                <w:sz w:val="20"/>
                <w:szCs w:val="20"/>
                <w:color w:val="auto"/>
              </w:rPr>
            </w:pPr>
            <w:r>
              <w:rPr>
                <w:rFonts w:ascii="Calibri" w:cs="Calibri" w:eastAsia="Calibri" w:hAnsi="Calibri"/>
                <w:sz w:val="20"/>
                <w:szCs w:val="20"/>
                <w:color w:val="0000EE"/>
                <w:w w:val="89"/>
              </w:rPr>
              <w:t>Act</w:t>
            </w:r>
          </w:p>
        </w:tc>
        <w:tc>
          <w:tcPr>
            <w:tcW w:w="480" w:type="dxa"/>
            <w:vAlign w:val="bottom"/>
            <w:tcBorders>
              <w:top w:val="single" w:sz="8" w:color="0000EE"/>
            </w:tcBorders>
            <w:gridSpan w:val="2"/>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40" w:type="dxa"/>
            <w:vAlign w:val="bottom"/>
            <w:tcBorders>
              <w:top w:val="single" w:sz="8" w:color="0000EE"/>
              <w:bottom w:val="single" w:sz="8" w:color="0000EE"/>
            </w:tcBorders>
            <w:gridSpan w:val="3"/>
          </w:tcPr>
          <w:p>
            <w:pPr>
              <w:jc w:val="right"/>
              <w:ind w:right="20"/>
              <w:spacing w:after="0" w:line="196" w:lineRule="exact"/>
              <w:rPr>
                <w:sz w:val="20"/>
                <w:szCs w:val="20"/>
                <w:color w:val="auto"/>
              </w:rPr>
            </w:pPr>
            <w:r>
              <w:rPr>
                <w:rFonts w:ascii="Calibri" w:cs="Calibri" w:eastAsia="Calibri" w:hAnsi="Calibri"/>
                <w:sz w:val="20"/>
                <w:szCs w:val="20"/>
                <w:color w:val="0000EE"/>
                <w:w w:val="98"/>
              </w:rPr>
              <w:t>27</w:t>
            </w: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680" w:type="dxa"/>
            <w:vAlign w:val="bottom"/>
            <w:tcBorders>
              <w:top w:val="single" w:sz="8" w:color="0000EE"/>
            </w:tcBorders>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331"/>
        </w:trPr>
        <w:tc>
          <w:tcPr>
            <w:tcW w:w="1280" w:type="dxa"/>
            <w:vAlign w:val="bottom"/>
          </w:tcPr>
          <w:p>
            <w:pPr>
              <w:spacing w:after="0"/>
              <w:rPr>
                <w:sz w:val="24"/>
                <w:szCs w:val="24"/>
                <w:color w:val="auto"/>
              </w:rPr>
            </w:pPr>
          </w:p>
        </w:tc>
        <w:tc>
          <w:tcPr>
            <w:tcW w:w="1240" w:type="dxa"/>
            <w:vAlign w:val="bottom"/>
            <w:gridSpan w:val="9"/>
          </w:tcPr>
          <w:p>
            <w:pPr>
              <w:ind w:left="20"/>
              <w:spacing w:after="0"/>
              <w:rPr>
                <w:sz w:val="20"/>
                <w:szCs w:val="20"/>
                <w:color w:val="auto"/>
              </w:rPr>
            </w:pPr>
            <w:r>
              <w:rPr>
                <w:rFonts w:ascii="Calibri" w:cs="Calibri" w:eastAsia="Calibri" w:hAnsi="Calibri"/>
                <w:sz w:val="20"/>
                <w:szCs w:val="20"/>
                <w:color w:val="0000EE"/>
                <w:w w:val="99"/>
              </w:rPr>
              <w:t>Governing Law</w:t>
            </w:r>
          </w:p>
        </w:tc>
        <w:tc>
          <w:tcPr>
            <w:tcW w:w="380" w:type="dxa"/>
            <w:vAlign w:val="bottom"/>
            <w:gridSpan w:val="3"/>
          </w:tcPr>
          <w:p>
            <w:pPr>
              <w:spacing w:after="0"/>
              <w:rPr>
                <w:sz w:val="24"/>
                <w:szCs w:val="24"/>
                <w:color w:val="auto"/>
              </w:rPr>
            </w:pPr>
          </w:p>
        </w:tc>
        <w:tc>
          <w:tcPr>
            <w:tcW w:w="460" w:type="dxa"/>
            <w:vAlign w:val="bottom"/>
            <w:gridSpan w:val="4"/>
          </w:tcPr>
          <w:p>
            <w:pPr>
              <w:jc w:val="right"/>
              <w:spacing w:after="0"/>
              <w:rPr>
                <w:sz w:val="20"/>
                <w:szCs w:val="20"/>
                <w:color w:val="auto"/>
              </w:rPr>
            </w:pPr>
            <w:r>
              <w:rPr>
                <w:rFonts w:ascii="Calibri" w:cs="Calibri" w:eastAsia="Calibri" w:hAnsi="Calibri"/>
                <w:sz w:val="20"/>
                <w:szCs w:val="20"/>
                <w:color w:val="0000EE"/>
              </w:rPr>
              <w:t>27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1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1280" w:type="dxa"/>
            <w:vAlign w:val="bottom"/>
          </w:tcPr>
          <w:p>
            <w:pPr>
              <w:spacing w:after="0"/>
              <w:rPr>
                <w:sz w:val="24"/>
                <w:szCs w:val="24"/>
                <w:color w:val="auto"/>
              </w:rPr>
            </w:pPr>
          </w:p>
        </w:tc>
        <w:tc>
          <w:tcPr>
            <w:tcW w:w="4440" w:type="dxa"/>
            <w:vAlign w:val="bottom"/>
            <w:gridSpan w:val="42"/>
          </w:tcPr>
          <w:p>
            <w:pPr>
              <w:ind w:left="20"/>
              <w:spacing w:after="0"/>
              <w:rPr>
                <w:sz w:val="20"/>
                <w:szCs w:val="20"/>
                <w:color w:val="auto"/>
              </w:rPr>
            </w:pPr>
            <w:r>
              <w:rPr>
                <w:rFonts w:ascii="Calibri" w:cs="Calibri" w:eastAsia="Calibri" w:hAnsi="Calibri"/>
                <w:sz w:val="20"/>
                <w:szCs w:val="20"/>
                <w:color w:val="0000EE"/>
              </w:rPr>
              <w:t>Securites Law and Other Regulatory Compliance</w:t>
            </w:r>
          </w:p>
        </w:tc>
        <w:tc>
          <w:tcPr>
            <w:tcW w:w="420" w:type="dxa"/>
            <w:vAlign w:val="bottom"/>
            <w:gridSpan w:val="3"/>
          </w:tcPr>
          <w:p>
            <w:pPr>
              <w:jc w:val="right"/>
              <w:spacing w:after="0"/>
              <w:rPr>
                <w:sz w:val="20"/>
                <w:szCs w:val="20"/>
                <w:color w:val="auto"/>
              </w:rPr>
            </w:pPr>
            <w:r>
              <w:rPr>
                <w:rFonts w:ascii="Calibri" w:cs="Calibri" w:eastAsia="Calibri" w:hAnsi="Calibri"/>
                <w:sz w:val="20"/>
                <w:szCs w:val="20"/>
                <w:color w:val="0000EE"/>
              </w:rPr>
              <w:t>27</w:t>
            </w: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5"/>
        </w:trPr>
        <w:tc>
          <w:tcPr>
            <w:tcW w:w="1280" w:type="dxa"/>
            <w:vAlign w:val="bottom"/>
          </w:tcPr>
          <w:p>
            <w:pPr>
              <w:spacing w:after="0"/>
              <w:rPr>
                <w:sz w:val="24"/>
                <w:szCs w:val="24"/>
                <w:color w:val="auto"/>
              </w:rPr>
            </w:pPr>
          </w:p>
        </w:tc>
        <w:tc>
          <w:tcPr>
            <w:tcW w:w="1620" w:type="dxa"/>
            <w:vAlign w:val="bottom"/>
            <w:tcBorders>
              <w:top w:val="single" w:sz="8" w:color="0000EE"/>
            </w:tcBorders>
            <w:gridSpan w:val="12"/>
          </w:tcPr>
          <w:p>
            <w:pPr>
              <w:ind w:left="20"/>
              <w:spacing w:after="0"/>
              <w:rPr>
                <w:sz w:val="20"/>
                <w:szCs w:val="20"/>
                <w:color w:val="auto"/>
              </w:rPr>
            </w:pPr>
            <w:r>
              <w:rPr>
                <w:rFonts w:ascii="Calibri" w:cs="Calibri" w:eastAsia="Calibri" w:hAnsi="Calibri"/>
                <w:sz w:val="20"/>
                <w:szCs w:val="20"/>
                <w:color w:val="0000EE"/>
              </w:rPr>
              <w:t>Secton 409A</w:t>
            </w:r>
          </w:p>
        </w:tc>
        <w:tc>
          <w:tcPr>
            <w:tcW w:w="320" w:type="dxa"/>
            <w:vAlign w:val="bottom"/>
            <w:tcBorders>
              <w:top w:val="single" w:sz="8" w:color="0000EE"/>
            </w:tcBorders>
          </w:tcPr>
          <w:p>
            <w:pPr>
              <w:jc w:val="right"/>
              <w:spacing w:after="0"/>
              <w:rPr>
                <w:sz w:val="20"/>
                <w:szCs w:val="20"/>
                <w:color w:val="auto"/>
              </w:rPr>
            </w:pPr>
            <w:r>
              <w:rPr>
                <w:rFonts w:ascii="Calibri" w:cs="Calibri" w:eastAsia="Calibri" w:hAnsi="Calibri"/>
                <w:sz w:val="20"/>
                <w:szCs w:val="20"/>
                <w:color w:val="0000EE"/>
              </w:rPr>
              <w:t>27</w:t>
            </w: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080" w:type="dxa"/>
            <w:vAlign w:val="bottom"/>
            <w:gridSpan w:val="6"/>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righ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1280" w:type="dxa"/>
            <w:vAlign w:val="bottom"/>
          </w:tcPr>
          <w:p>
            <w:pPr>
              <w:spacing w:after="0"/>
              <w:rPr>
                <w:sz w:val="24"/>
                <w:szCs w:val="24"/>
                <w:color w:val="auto"/>
              </w:rPr>
            </w:pPr>
          </w:p>
        </w:tc>
        <w:tc>
          <w:tcPr>
            <w:tcW w:w="1620" w:type="dxa"/>
            <w:vAlign w:val="bottom"/>
            <w:gridSpan w:val="12"/>
          </w:tcPr>
          <w:p>
            <w:pPr>
              <w:ind w:left="20"/>
              <w:spacing w:after="0"/>
              <w:rPr>
                <w:sz w:val="20"/>
                <w:szCs w:val="20"/>
                <w:color w:val="auto"/>
              </w:rPr>
            </w:pPr>
            <w:r>
              <w:rPr>
                <w:rFonts w:ascii="Calibri" w:cs="Calibri" w:eastAsia="Calibri" w:hAnsi="Calibri"/>
                <w:sz w:val="20"/>
                <w:szCs w:val="20"/>
                <w:color w:val="0000EE"/>
                <w:w w:val="94"/>
              </w:rPr>
              <w:t>No Rights to Awards</w:t>
            </w: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gridSpan w:val="5"/>
          </w:tcPr>
          <w:p>
            <w:pPr>
              <w:jc w:val="right"/>
              <w:spacing w:after="0"/>
              <w:rPr>
                <w:sz w:val="20"/>
                <w:szCs w:val="20"/>
                <w:color w:val="auto"/>
              </w:rPr>
            </w:pPr>
            <w:r>
              <w:rPr>
                <w:rFonts w:ascii="Calibri" w:cs="Calibri" w:eastAsia="Calibri" w:hAnsi="Calibri"/>
                <w:sz w:val="20"/>
                <w:szCs w:val="20"/>
                <w:color w:val="0000EE"/>
                <w:w w:val="98"/>
              </w:rPr>
              <w:t>28</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340" w:type="dxa"/>
            <w:vAlign w:val="bottom"/>
            <w:tcBorders>
              <w:right w:val="single" w:sz="8" w:color="0000EE"/>
            </w:tcBorders>
            <w:gridSpan w:val="10"/>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left w:val="single" w:sz="8" w:color="0000EE"/>
            </w:tcBorders>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1280" w:type="dxa"/>
            <w:vAlign w:val="bottom"/>
          </w:tcPr>
          <w:p>
            <w:pPr>
              <w:spacing w:after="0"/>
              <w:rPr>
                <w:sz w:val="24"/>
                <w:szCs w:val="24"/>
                <w:color w:val="auto"/>
              </w:rPr>
            </w:pPr>
          </w:p>
        </w:tc>
        <w:tc>
          <w:tcPr>
            <w:tcW w:w="2300" w:type="dxa"/>
            <w:vAlign w:val="bottom"/>
            <w:gridSpan w:val="18"/>
          </w:tcPr>
          <w:p>
            <w:pPr>
              <w:ind w:left="20"/>
              <w:spacing w:after="0"/>
              <w:rPr>
                <w:sz w:val="20"/>
                <w:szCs w:val="20"/>
                <w:color w:val="auto"/>
              </w:rPr>
            </w:pPr>
            <w:r>
              <w:rPr>
                <w:rFonts w:ascii="Calibri" w:cs="Calibri" w:eastAsia="Calibri" w:hAnsi="Calibri"/>
                <w:sz w:val="20"/>
                <w:szCs w:val="20"/>
                <w:color w:val="0000EE"/>
              </w:rPr>
              <w:t>Unfunded Status of Awards</w:t>
            </w:r>
          </w:p>
        </w:tc>
        <w:tc>
          <w:tcPr>
            <w:tcW w:w="800" w:type="dxa"/>
            <w:vAlign w:val="bottom"/>
            <w:gridSpan w:val="14"/>
          </w:tcPr>
          <w:p>
            <w:pPr>
              <w:jc w:val="right"/>
              <w:spacing w:after="0"/>
              <w:rPr>
                <w:sz w:val="20"/>
                <w:szCs w:val="20"/>
                <w:color w:val="auto"/>
              </w:rPr>
            </w:pPr>
            <w:r>
              <w:rPr>
                <w:rFonts w:ascii="Calibri" w:cs="Calibri" w:eastAsia="Calibri" w:hAnsi="Calibri"/>
                <w:sz w:val="20"/>
                <w:szCs w:val="20"/>
                <w:color w:val="0000EE"/>
              </w:rPr>
              <w:t>28</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44"/>
        </w:trPr>
        <w:tc>
          <w:tcPr>
            <w:tcW w:w="12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10"/>
          </w:tcPr>
          <w:p>
            <w:pPr>
              <w:ind w:left="20"/>
              <w:spacing w:after="0"/>
              <w:rPr>
                <w:sz w:val="20"/>
                <w:szCs w:val="20"/>
                <w:color w:val="auto"/>
              </w:rPr>
            </w:pPr>
            <w:r>
              <w:rPr>
                <w:rFonts w:ascii="Calibri" w:cs="Calibri" w:eastAsia="Calibri" w:hAnsi="Calibri"/>
                <w:sz w:val="20"/>
                <w:szCs w:val="20"/>
                <w:color w:val="0000EE"/>
              </w:rPr>
              <w:t>Indemnifcaton</w:t>
            </w:r>
          </w:p>
        </w:tc>
        <w:tc>
          <w:tcPr>
            <w:tcW w:w="280" w:type="dxa"/>
            <w:vAlign w:val="bottom"/>
            <w:tcBorders>
              <w:top w:val="single" w:sz="8" w:color="0000EE"/>
            </w:tcBorders>
            <w:gridSpan w:val="2"/>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40" w:type="dxa"/>
            <w:vAlign w:val="bottom"/>
            <w:tcBorders>
              <w:top w:val="single" w:sz="8" w:color="0000EE"/>
              <w:bottom w:val="single" w:sz="8" w:color="0000EE"/>
            </w:tcBorders>
            <w:gridSpan w:val="4"/>
          </w:tcPr>
          <w:p>
            <w:pPr>
              <w:jc w:val="right"/>
              <w:ind w:right="20"/>
              <w:spacing w:after="0"/>
              <w:rPr>
                <w:sz w:val="20"/>
                <w:szCs w:val="20"/>
                <w:color w:val="auto"/>
              </w:rPr>
            </w:pPr>
            <w:r>
              <w:rPr>
                <w:rFonts w:ascii="Calibri" w:cs="Calibri" w:eastAsia="Calibri" w:hAnsi="Calibri"/>
                <w:sz w:val="20"/>
                <w:szCs w:val="20"/>
                <w:color w:val="0000EE"/>
                <w:w w:val="98"/>
              </w:rPr>
              <w:t>28</w:t>
            </w:r>
          </w:p>
        </w:tc>
        <w:tc>
          <w:tcPr>
            <w:tcW w:w="1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1280" w:type="dxa"/>
            <w:vAlign w:val="bottom"/>
          </w:tcPr>
          <w:p>
            <w:pPr>
              <w:spacing w:after="0"/>
              <w:rPr>
                <w:sz w:val="24"/>
                <w:szCs w:val="24"/>
                <w:color w:val="auto"/>
              </w:rPr>
            </w:pPr>
          </w:p>
        </w:tc>
        <w:tc>
          <w:tcPr>
            <w:tcW w:w="3040" w:type="dxa"/>
            <w:vAlign w:val="bottom"/>
            <w:gridSpan w:val="31"/>
          </w:tcPr>
          <w:p>
            <w:pPr>
              <w:ind w:left="20"/>
              <w:spacing w:after="0"/>
              <w:rPr>
                <w:sz w:val="20"/>
                <w:szCs w:val="20"/>
                <w:color w:val="auto"/>
              </w:rPr>
            </w:pPr>
            <w:r>
              <w:rPr>
                <w:rFonts w:ascii="Calibri" w:cs="Calibri" w:eastAsia="Calibri" w:hAnsi="Calibri"/>
                <w:sz w:val="20"/>
                <w:szCs w:val="20"/>
                <w:color w:val="0000EE"/>
              </w:rPr>
              <w:t>Relatonship to other Benefts</w:t>
            </w:r>
          </w:p>
        </w:tc>
        <w:tc>
          <w:tcPr>
            <w:tcW w:w="260" w:type="dxa"/>
            <w:vAlign w:val="bottom"/>
            <w:gridSpan w:val="3"/>
          </w:tcPr>
          <w:p>
            <w:pPr>
              <w:jc w:val="right"/>
              <w:spacing w:after="0"/>
              <w:rPr>
                <w:sz w:val="20"/>
                <w:szCs w:val="20"/>
                <w:color w:val="auto"/>
              </w:rPr>
            </w:pPr>
            <w:r>
              <w:rPr>
                <w:rFonts w:ascii="Calibri" w:cs="Calibri" w:eastAsia="Calibri" w:hAnsi="Calibri"/>
                <w:sz w:val="20"/>
                <w:szCs w:val="20"/>
                <w:color w:val="0000EE"/>
              </w:rPr>
              <w:t>29</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1280" w:type="dxa"/>
            <w:vAlign w:val="bottom"/>
          </w:tcPr>
          <w:p>
            <w:pPr>
              <w:spacing w:after="0"/>
              <w:rPr>
                <w:sz w:val="24"/>
                <w:szCs w:val="24"/>
                <w:color w:val="auto"/>
              </w:rPr>
            </w:pPr>
          </w:p>
        </w:tc>
        <w:tc>
          <w:tcPr>
            <w:tcW w:w="760" w:type="dxa"/>
            <w:vAlign w:val="bottom"/>
            <w:tcBorders>
              <w:top w:val="single" w:sz="8" w:color="0000EE"/>
            </w:tcBorders>
            <w:gridSpan w:val="3"/>
          </w:tcPr>
          <w:p>
            <w:pPr>
              <w:ind w:left="20"/>
              <w:spacing w:after="0"/>
              <w:rPr>
                <w:sz w:val="20"/>
                <w:szCs w:val="20"/>
                <w:color w:val="auto"/>
              </w:rPr>
            </w:pPr>
            <w:r>
              <w:rPr>
                <w:rFonts w:ascii="Calibri" w:cs="Calibri" w:eastAsia="Calibri" w:hAnsi="Calibri"/>
                <w:sz w:val="20"/>
                <w:szCs w:val="20"/>
                <w:color w:val="0000EE"/>
                <w:w w:val="95"/>
              </w:rPr>
              <w:t>Expenses</w:t>
            </w:r>
          </w:p>
        </w:tc>
        <w:tc>
          <w:tcPr>
            <w:tcW w:w="860" w:type="dxa"/>
            <w:vAlign w:val="bottom"/>
            <w:tcBorders>
              <w:top w:val="single" w:sz="8" w:color="0000EE"/>
            </w:tcBorders>
            <w:gridSpan w:val="9"/>
          </w:tcPr>
          <w:p>
            <w:pPr>
              <w:jc w:val="right"/>
              <w:spacing w:after="0"/>
              <w:rPr>
                <w:sz w:val="20"/>
                <w:szCs w:val="20"/>
                <w:color w:val="auto"/>
              </w:rPr>
            </w:pPr>
            <w:r>
              <w:rPr>
                <w:rFonts w:ascii="Calibri" w:cs="Calibri" w:eastAsia="Calibri" w:hAnsi="Calibri"/>
                <w:sz w:val="20"/>
                <w:szCs w:val="20"/>
                <w:color w:val="0000EE"/>
              </w:rPr>
              <w:t>29</w:t>
            </w:r>
          </w:p>
        </w:tc>
        <w:tc>
          <w:tcPr>
            <w:tcW w:w="3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680" w:type="dxa"/>
            <w:vAlign w:val="bottom"/>
            <w:tcBorders>
              <w:right w:val="single" w:sz="8" w:color="0000EE"/>
            </w:tcBorders>
            <w:gridSpan w:val="8"/>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45"/>
        </w:trPr>
        <w:tc>
          <w:tcPr>
            <w:tcW w:w="1280" w:type="dxa"/>
            <w:vAlign w:val="bottom"/>
          </w:tcPr>
          <w:p>
            <w:pPr>
              <w:spacing w:after="0"/>
              <w:rPr>
                <w:sz w:val="24"/>
                <w:szCs w:val="24"/>
                <w:color w:val="auto"/>
              </w:rPr>
            </w:pPr>
          </w:p>
        </w:tc>
        <w:tc>
          <w:tcPr>
            <w:tcW w:w="2300" w:type="dxa"/>
            <w:vAlign w:val="bottom"/>
            <w:gridSpan w:val="18"/>
          </w:tcPr>
          <w:p>
            <w:pPr>
              <w:ind w:left="20"/>
              <w:spacing w:after="0"/>
              <w:rPr>
                <w:sz w:val="20"/>
                <w:szCs w:val="20"/>
                <w:color w:val="auto"/>
              </w:rPr>
            </w:pPr>
            <w:r>
              <w:rPr>
                <w:rFonts w:ascii="Calibri" w:cs="Calibri" w:eastAsia="Calibri" w:hAnsi="Calibri"/>
                <w:sz w:val="20"/>
                <w:szCs w:val="20"/>
                <w:color w:val="0000EE"/>
              </w:rPr>
              <w:t>Escrow; Pledge of Shares</w:t>
            </w:r>
          </w:p>
        </w:tc>
        <w:tc>
          <w:tcPr>
            <w:tcW w:w="620" w:type="dxa"/>
            <w:vAlign w:val="bottom"/>
            <w:gridSpan w:val="12"/>
          </w:tcPr>
          <w:p>
            <w:pPr>
              <w:jc w:val="right"/>
              <w:ind w:right="20"/>
              <w:spacing w:after="0"/>
              <w:rPr>
                <w:sz w:val="20"/>
                <w:szCs w:val="20"/>
                <w:color w:val="auto"/>
              </w:rPr>
            </w:pPr>
            <w:r>
              <w:rPr>
                <w:rFonts w:ascii="Calibri" w:cs="Calibri" w:eastAsia="Calibri" w:hAnsi="Calibri"/>
                <w:sz w:val="20"/>
                <w:szCs w:val="20"/>
                <w:color w:val="0000EE"/>
              </w:rPr>
              <w:t>29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0"/>
        </w:trPr>
        <w:tc>
          <w:tcPr>
            <w:tcW w:w="1280" w:type="dxa"/>
            <w:vAlign w:val="bottom"/>
          </w:tcPr>
          <w:p>
            <w:pPr>
              <w:spacing w:after="0" w:line="20" w:lineRule="exact"/>
              <w:rPr>
                <w:sz w:val="1"/>
                <w:szCs w:val="1"/>
                <w:color w:val="auto"/>
              </w:rPr>
            </w:pPr>
          </w:p>
        </w:tc>
        <w:tc>
          <w:tcPr>
            <w:tcW w:w="1940" w:type="dxa"/>
            <w:vAlign w:val="bottom"/>
            <w:tcBorders>
              <w:right w:val="single" w:sz="8" w:color="0000EE"/>
            </w:tcBorders>
            <w:gridSpan w:val="1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331"/>
        </w:trPr>
        <w:tc>
          <w:tcPr>
            <w:tcW w:w="1280" w:type="dxa"/>
            <w:vAlign w:val="bottom"/>
          </w:tcPr>
          <w:p>
            <w:pPr>
              <w:spacing w:after="0"/>
              <w:rPr>
                <w:sz w:val="24"/>
                <w:szCs w:val="24"/>
                <w:color w:val="auto"/>
              </w:rPr>
            </w:pPr>
          </w:p>
        </w:tc>
        <w:tc>
          <w:tcPr>
            <w:tcW w:w="2000" w:type="dxa"/>
            <w:vAlign w:val="bottom"/>
            <w:tcBorders>
              <w:bottom w:val="single" w:sz="8" w:color="0000EE"/>
            </w:tcBorders>
            <w:gridSpan w:val="15"/>
          </w:tcPr>
          <w:p>
            <w:pPr>
              <w:ind w:left="20"/>
              <w:spacing w:after="0"/>
              <w:rPr>
                <w:sz w:val="20"/>
                <w:szCs w:val="20"/>
                <w:color w:val="auto"/>
              </w:rPr>
            </w:pPr>
            <w:r>
              <w:rPr>
                <w:rFonts w:ascii="Calibri" w:cs="Calibri" w:eastAsia="Calibri" w:hAnsi="Calibri"/>
                <w:sz w:val="20"/>
                <w:szCs w:val="20"/>
                <w:color w:val="0000EE"/>
                <w:w w:val="99"/>
              </w:rPr>
              <w:t>No Obligaton to Employ</w:t>
            </w:r>
          </w:p>
        </w:tc>
        <w:tc>
          <w:tcPr>
            <w:tcW w:w="300" w:type="dxa"/>
            <w:vAlign w:val="bottom"/>
            <w:gridSpan w:val="3"/>
          </w:tcPr>
          <w:p>
            <w:pPr>
              <w:spacing w:after="0"/>
              <w:rPr>
                <w:sz w:val="24"/>
                <w:szCs w:val="24"/>
                <w:color w:val="auto"/>
              </w:rPr>
            </w:pPr>
          </w:p>
        </w:tc>
        <w:tc>
          <w:tcPr>
            <w:tcW w:w="360" w:type="dxa"/>
            <w:vAlign w:val="bottom"/>
            <w:gridSpan w:val="9"/>
          </w:tcPr>
          <w:p>
            <w:pPr>
              <w:spacing w:after="0"/>
              <w:rPr>
                <w:sz w:val="24"/>
                <w:szCs w:val="24"/>
                <w:color w:val="auto"/>
              </w:rPr>
            </w:pPr>
          </w:p>
        </w:tc>
        <w:tc>
          <w:tcPr>
            <w:tcW w:w="260" w:type="dxa"/>
            <w:vAlign w:val="bottom"/>
            <w:tcBorders>
              <w:bottom w:val="single" w:sz="8" w:color="0000EE"/>
            </w:tcBorders>
            <w:gridSpan w:val="3"/>
          </w:tcPr>
          <w:p>
            <w:pPr>
              <w:jc w:val="right"/>
              <w:ind w:right="60"/>
              <w:spacing w:after="0"/>
              <w:rPr>
                <w:sz w:val="20"/>
                <w:szCs w:val="20"/>
                <w:color w:val="auto"/>
              </w:rPr>
            </w:pPr>
            <w:r>
              <w:rPr>
                <w:rFonts w:ascii="Calibri" w:cs="Calibri" w:eastAsia="Calibri" w:hAnsi="Calibri"/>
                <w:sz w:val="20"/>
                <w:szCs w:val="20"/>
                <w:color w:val="0000EE"/>
                <w:w w:val="88"/>
              </w:rPr>
              <w:t>29</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1"/>
        </w:trPr>
        <w:tc>
          <w:tcPr>
            <w:tcW w:w="1280" w:type="dxa"/>
            <w:vAlign w:val="bottom"/>
          </w:tcPr>
          <w:p>
            <w:pPr>
              <w:spacing w:after="0"/>
              <w:rPr>
                <w:sz w:val="24"/>
                <w:szCs w:val="24"/>
                <w:color w:val="auto"/>
              </w:rPr>
            </w:pPr>
          </w:p>
        </w:tc>
        <w:tc>
          <w:tcPr>
            <w:tcW w:w="2300" w:type="dxa"/>
            <w:vAlign w:val="bottom"/>
            <w:gridSpan w:val="18"/>
          </w:tcPr>
          <w:p>
            <w:pPr>
              <w:ind w:left="20"/>
              <w:spacing w:after="0"/>
              <w:rPr>
                <w:sz w:val="20"/>
                <w:szCs w:val="20"/>
                <w:color w:val="auto"/>
              </w:rPr>
            </w:pPr>
            <w:r>
              <w:rPr>
                <w:rFonts w:ascii="Calibri" w:cs="Calibri" w:eastAsia="Calibri" w:hAnsi="Calibri"/>
                <w:sz w:val="20"/>
                <w:szCs w:val="20"/>
                <w:color w:val="0000EE"/>
              </w:rPr>
              <w:t>Insider Trading Policy</w:t>
            </w:r>
          </w:p>
        </w:tc>
        <w:tc>
          <w:tcPr>
            <w:tcW w:w="300" w:type="dxa"/>
            <w:vAlign w:val="bottom"/>
            <w:gridSpan w:val="8"/>
          </w:tcPr>
          <w:p>
            <w:pPr>
              <w:jc w:val="right"/>
              <w:spacing w:after="0"/>
              <w:rPr>
                <w:sz w:val="20"/>
                <w:szCs w:val="20"/>
                <w:color w:val="auto"/>
              </w:rPr>
            </w:pPr>
            <w:r>
              <w:rPr>
                <w:rFonts w:ascii="Calibri" w:cs="Calibri" w:eastAsia="Calibri" w:hAnsi="Calibri"/>
                <w:sz w:val="20"/>
                <w:szCs w:val="20"/>
                <w:color w:val="0000EE"/>
              </w:rPr>
              <w:t>29</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72"/>
        </w:trPr>
        <w:tc>
          <w:tcPr>
            <w:tcW w:w="128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4</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66"/>
        </w:trPr>
        <w:tc>
          <w:tcPr>
            <w:tcW w:w="12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r>
        <w:trPr>
          <w:trHeight w:val="20"/>
        </w:trPr>
        <w:tc>
          <w:tcPr>
            <w:tcW w:w="12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5821045</wp:posOffset>
            </wp:positionH>
            <wp:positionV relativeFrom="paragraph">
              <wp:posOffset>-38100</wp:posOffset>
            </wp:positionV>
            <wp:extent cx="33655"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3655" cy="5143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429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200"/>
          </w:cols>
          <w:pgMar w:left="1360" w:top="100" w:right="1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20"/>
          <w:szCs w:val="20"/>
          <w:b w:val="1"/>
          <w:bCs w:val="1"/>
          <w:color w:val="auto"/>
        </w:rPr>
        <w:t>GLOBUS MEDICAL, INC.</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2021 EQUITY INCENTIVE PLAN</w:t>
      </w:r>
    </w:p>
    <w:p>
      <w:pPr>
        <w:spacing w:after="0" w:line="38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ARTICLE 1.</w:t>
      </w:r>
    </w:p>
    <w:p>
      <w:pPr>
        <w:spacing w:after="0" w:line="161"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0"/>
          <w:szCs w:val="20"/>
          <w:color w:val="auto"/>
        </w:rPr>
        <w:t>PURPOSE</w:t>
      </w:r>
    </w:p>
    <w:p>
      <w:pPr>
        <w:spacing w:after="0" w:line="189"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20"/>
          <w:szCs w:val="20"/>
          <w:color w:val="auto"/>
        </w:rPr>
        <w:t>The purpose of the Globus Medical, Inc. 2021 Equity Incentive Plan (as it may be amended or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is to promote the success and enhance the value of Globus Medical, Inc.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by</w:t>
      </w:r>
    </w:p>
    <w:p>
      <w:pPr>
        <w:spacing w:after="0" w:line="212" w:lineRule="auto"/>
        <w:rPr>
          <w:sz w:val="20"/>
          <w:szCs w:val="20"/>
          <w:color w:val="auto"/>
        </w:rPr>
      </w:pPr>
      <w:r>
        <w:rPr>
          <w:rFonts w:ascii="Times New Roman" w:cs="Times New Roman" w:eastAsia="Times New Roman" w:hAnsi="Times New Roman"/>
          <w:sz w:val="20"/>
          <w:szCs w:val="20"/>
          <w:color w:val="auto"/>
        </w:rPr>
        <w:t>linking the individual interests of the Non-Employee Directors, Employees, and Consultants to those of Company</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stockholders and by providing such individuals with an incentive for outstanding performance to generate superior returns to Company stockholders. The Plan is further intended to provide flexibility to the Company in its ability to</w:t>
      </w:r>
    </w:p>
    <w:p>
      <w:pPr>
        <w:spacing w:after="0" w:line="211" w:lineRule="auto"/>
        <w:rPr>
          <w:sz w:val="20"/>
          <w:szCs w:val="20"/>
          <w:color w:val="auto"/>
        </w:rPr>
      </w:pPr>
      <w:r>
        <w:rPr>
          <w:rFonts w:ascii="Times New Roman" w:cs="Times New Roman" w:eastAsia="Times New Roman" w:hAnsi="Times New Roman"/>
          <w:sz w:val="20"/>
          <w:szCs w:val="20"/>
          <w:color w:val="auto"/>
        </w:rPr>
        <w:t>motivate, attract, and retain the services of Non-Employee Directors, Employees, and Consultants upon whose</w:t>
      </w:r>
    </w:p>
    <w:p>
      <w:pPr>
        <w:ind w:right="100"/>
        <w:spacing w:after="0" w:line="215" w:lineRule="auto"/>
        <w:rPr>
          <w:sz w:val="20"/>
          <w:szCs w:val="20"/>
          <w:color w:val="auto"/>
        </w:rPr>
      </w:pPr>
      <w:r>
        <w:rPr>
          <w:rFonts w:ascii="Times New Roman" w:cs="Times New Roman" w:eastAsia="Times New Roman" w:hAnsi="Times New Roman"/>
          <w:sz w:val="19"/>
          <w:szCs w:val="19"/>
          <w:color w:val="auto"/>
        </w:rPr>
        <w:t>judgment, interest, and special effort the successful conduct of the Company’s operation is largely dependent. The Plan provides a mechanism through which the Company may grant equity and equity-based awards as well as cash</w:t>
      </w:r>
    </w:p>
    <w:p>
      <w:pPr>
        <w:spacing w:after="0"/>
        <w:rPr>
          <w:sz w:val="20"/>
          <w:szCs w:val="20"/>
          <w:color w:val="auto"/>
        </w:rPr>
      </w:pPr>
      <w:r>
        <w:rPr>
          <w:rFonts w:ascii="Times New Roman" w:cs="Times New Roman" w:eastAsia="Times New Roman" w:hAnsi="Times New Roman"/>
          <w:sz w:val="20"/>
          <w:szCs w:val="20"/>
          <w:color w:val="auto"/>
        </w:rPr>
        <w:t>bonus and other cash awards to Eligible Individuals.</w:t>
      </w:r>
    </w:p>
    <w:p>
      <w:pPr>
        <w:spacing w:after="0" w:line="167" w:lineRule="exact"/>
        <w:rPr>
          <w:sz w:val="20"/>
          <w:szCs w:val="20"/>
          <w:color w:val="auto"/>
        </w:rPr>
      </w:pPr>
    </w:p>
    <w:p>
      <w:pPr>
        <w:jc w:val="both"/>
        <w:ind w:right="180"/>
        <w:spacing w:after="0" w:line="227" w:lineRule="auto"/>
        <w:rPr>
          <w:sz w:val="20"/>
          <w:szCs w:val="20"/>
          <w:color w:val="auto"/>
        </w:rPr>
      </w:pPr>
      <w:r>
        <w:rPr>
          <w:rFonts w:ascii="Times New Roman" w:cs="Times New Roman" w:eastAsia="Times New Roman" w:hAnsi="Times New Roman"/>
          <w:sz w:val="19"/>
          <w:szCs w:val="19"/>
          <w:color w:val="auto"/>
        </w:rPr>
        <w:t>The Plan is a successor to the Prior Plan (as defined below). No additional grants shall made under the Prior Plan after the Effective Date. Outstanding grants under the Prior Plan shall continue in effect according to their terms,</w:t>
      </w:r>
    </w:p>
    <w:p>
      <w:pPr>
        <w:spacing w:after="0"/>
        <w:rPr>
          <w:sz w:val="20"/>
          <w:szCs w:val="20"/>
          <w:color w:val="auto"/>
        </w:rPr>
      </w:pPr>
      <w:r>
        <w:rPr>
          <w:rFonts w:ascii="Times New Roman" w:cs="Times New Roman" w:eastAsia="Times New Roman" w:hAnsi="Times New Roman"/>
          <w:sz w:val="20"/>
          <w:szCs w:val="20"/>
          <w:color w:val="auto"/>
        </w:rPr>
        <w:t>consistent with the applicable terms of the Prior Plan.</w:t>
      </w:r>
    </w:p>
    <w:p>
      <w:pPr>
        <w:spacing w:after="0" w:line="14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ARTICLE 2.</w:t>
      </w:r>
    </w:p>
    <w:p>
      <w:pPr>
        <w:spacing w:after="0" w:line="174"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0"/>
          <w:szCs w:val="20"/>
          <w:color w:val="auto"/>
        </w:rPr>
        <w:t>DEFINITIONS AND CONSTRUCTION</w:t>
      </w:r>
    </w:p>
    <w:p>
      <w:pPr>
        <w:spacing w:after="0" w:line="175"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38" w:lineRule="exact"/>
        <w:rPr>
          <w:sz w:val="20"/>
          <w:szCs w:val="20"/>
          <w:color w:val="auto"/>
        </w:rPr>
      </w:pPr>
    </w:p>
    <w:p>
      <w:pPr>
        <w:ind w:left="640"/>
        <w:spacing w:after="0"/>
        <w:tabs>
          <w:tab w:leader="none" w:pos="1360" w:val="left"/>
          <w:tab w:leader="none" w:pos="338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mean the entity that conducts the general administration of the Plan</w:t>
      </w:r>
    </w:p>
    <w:p>
      <w:pPr>
        <w:ind w:right="80"/>
        <w:spacing w:after="0" w:line="215" w:lineRule="auto"/>
        <w:rPr>
          <w:sz w:val="20"/>
          <w:szCs w:val="20"/>
          <w:color w:val="auto"/>
        </w:rPr>
      </w:pPr>
      <w:r>
        <w:rPr>
          <w:rFonts w:ascii="Times New Roman" w:cs="Times New Roman" w:eastAsia="Times New Roman" w:hAnsi="Times New Roman"/>
          <w:sz w:val="19"/>
          <w:szCs w:val="19"/>
          <w:color w:val="auto"/>
        </w:rPr>
        <w:t>as provided in Article 11. With reference to the duties of the Committee under the Plan which have been delegated to one or more persons pursuant to Section 11.6, or that the Board has assumed, the term “Administrator” shall</w:t>
      </w:r>
    </w:p>
    <w:p>
      <w:pPr>
        <w:ind w:right="580"/>
        <w:spacing w:after="0" w:line="228" w:lineRule="auto"/>
        <w:rPr>
          <w:sz w:val="20"/>
          <w:szCs w:val="20"/>
          <w:color w:val="auto"/>
        </w:rPr>
      </w:pPr>
      <w:r>
        <w:rPr>
          <w:rFonts w:ascii="Times New Roman" w:cs="Times New Roman" w:eastAsia="Times New Roman" w:hAnsi="Times New Roman"/>
          <w:sz w:val="20"/>
          <w:szCs w:val="20"/>
          <w:color w:val="auto"/>
        </w:rPr>
        <w:t>refer to such person(s) or the Board unless such delegation has been revoked or the Board has terminated the assumption of such duties.</w:t>
      </w:r>
    </w:p>
    <w:p>
      <w:pPr>
        <w:spacing w:after="0" w:line="147" w:lineRule="exact"/>
        <w:rPr>
          <w:sz w:val="20"/>
          <w:szCs w:val="20"/>
          <w:color w:val="auto"/>
        </w:rPr>
      </w:pPr>
    </w:p>
    <w:p>
      <w:pPr>
        <w:ind w:left="640"/>
        <w:spacing w:after="0"/>
        <w:tabs>
          <w:tab w:leader="none" w:pos="1360" w:val="left"/>
          <w:tab w:leader="none" w:pos="498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Accounting Standards</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mean Generally Accepted Accounting</w:t>
      </w:r>
    </w:p>
    <w:p>
      <w:pPr>
        <w:ind w:right="20"/>
        <w:spacing w:after="0" w:line="215" w:lineRule="auto"/>
        <w:rPr>
          <w:sz w:val="20"/>
          <w:szCs w:val="20"/>
          <w:color w:val="auto"/>
        </w:rPr>
      </w:pPr>
      <w:r>
        <w:rPr>
          <w:rFonts w:ascii="Times New Roman" w:cs="Times New Roman" w:eastAsia="Times New Roman" w:hAnsi="Times New Roman"/>
          <w:sz w:val="19"/>
          <w:szCs w:val="19"/>
          <w:color w:val="auto"/>
        </w:rPr>
        <w:t>Principles in the United States, International Financial Reporting Standards or such other accounting principles or standards as may apply to the Company’s financial statements under United States federal securities laws from time</w:t>
      </w:r>
    </w:p>
    <w:p>
      <w:pPr>
        <w:spacing w:after="0"/>
        <w:rPr>
          <w:sz w:val="20"/>
          <w:szCs w:val="20"/>
          <w:color w:val="auto"/>
        </w:rPr>
      </w:pPr>
      <w:r>
        <w:rPr>
          <w:rFonts w:ascii="Times New Roman" w:cs="Times New Roman" w:eastAsia="Times New Roman" w:hAnsi="Times New Roman"/>
          <w:sz w:val="20"/>
          <w:szCs w:val="20"/>
          <w:color w:val="auto"/>
        </w:rPr>
        <w:t>to time.</w:t>
      </w:r>
    </w:p>
    <w:p>
      <w:pPr>
        <w:spacing w:after="0" w:line="152" w:lineRule="exact"/>
        <w:rPr>
          <w:sz w:val="20"/>
          <w:szCs w:val="20"/>
          <w:color w:val="auto"/>
        </w:rPr>
      </w:pPr>
    </w:p>
    <w:p>
      <w:pPr>
        <w:ind w:left="640"/>
        <w:spacing w:after="0"/>
        <w:tabs>
          <w:tab w:leader="none" w:pos="1360" w:val="left"/>
          <w:tab w:leader="none" w:pos="350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mean the applicable provisions of the Code, the Securities Act,</w:t>
      </w:r>
    </w:p>
    <w:p>
      <w:pPr>
        <w:ind w:right="540"/>
        <w:spacing w:after="0" w:line="215" w:lineRule="auto"/>
        <w:rPr>
          <w:sz w:val="20"/>
          <w:szCs w:val="20"/>
          <w:color w:val="auto"/>
        </w:rPr>
      </w:pPr>
      <w:r>
        <w:rPr>
          <w:rFonts w:ascii="Times New Roman" w:cs="Times New Roman" w:eastAsia="Times New Roman" w:hAnsi="Times New Roman"/>
          <w:sz w:val="19"/>
          <w:szCs w:val="19"/>
          <w:color w:val="auto"/>
        </w:rPr>
        <w:t>the Exchange Act and any other federal, state or foreign corporate, securities or tax or other laws, rules, requirements or regulations, the rules of any securities exchange or automated quotation system on which the</w:t>
      </w:r>
    </w:p>
    <w:p>
      <w:pPr>
        <w:spacing w:after="0"/>
        <w:rPr>
          <w:sz w:val="20"/>
          <w:szCs w:val="20"/>
          <w:color w:val="auto"/>
        </w:rPr>
      </w:pPr>
      <w:r>
        <w:rPr>
          <w:rFonts w:ascii="Times New Roman" w:cs="Times New Roman" w:eastAsia="Times New Roman" w:hAnsi="Times New Roman"/>
          <w:sz w:val="20"/>
          <w:szCs w:val="20"/>
          <w:color w:val="auto"/>
        </w:rPr>
        <w:t>Shares are listed, quoted or traded and any other applicable law.</w:t>
      </w:r>
    </w:p>
    <w:p>
      <w:pPr>
        <w:spacing w:after="0" w:line="152" w:lineRule="exact"/>
        <w:rPr>
          <w:sz w:val="20"/>
          <w:szCs w:val="20"/>
          <w:color w:val="auto"/>
        </w:rPr>
      </w:pPr>
    </w:p>
    <w:p>
      <w:pPr>
        <w:ind w:left="640"/>
        <w:spacing w:after="0"/>
        <w:tabs>
          <w:tab w:leader="none" w:pos="1360" w:val="left"/>
          <w:tab w:leader="none" w:pos="276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Award</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mean an Option, a Restricted Stock award, a Restricted Stock Unit award,</w:t>
      </w:r>
    </w:p>
    <w:p>
      <w:pPr>
        <w:ind w:right="300"/>
        <w:spacing w:after="0" w:line="221" w:lineRule="auto"/>
        <w:rPr>
          <w:sz w:val="20"/>
          <w:szCs w:val="20"/>
          <w:color w:val="auto"/>
        </w:rPr>
      </w:pPr>
      <w:r>
        <w:rPr>
          <w:rFonts w:ascii="Times New Roman" w:cs="Times New Roman" w:eastAsia="Times New Roman" w:hAnsi="Times New Roman"/>
          <w:sz w:val="20"/>
          <w:szCs w:val="20"/>
          <w:color w:val="auto"/>
        </w:rPr>
        <w:t>a Performance Award, a Stock Payment award or a Stock Appreciation Right, which may be awarded or granted under the Plan (collectively, “</w:t>
      </w:r>
      <w:r>
        <w:rPr>
          <w:rFonts w:ascii="Times New Roman" w:cs="Times New Roman" w:eastAsia="Times New Roman" w:hAnsi="Times New Roman"/>
          <w:sz w:val="20"/>
          <w:szCs w:val="20"/>
          <w:b w:val="1"/>
          <w:bCs w:val="1"/>
          <w:i w:val="1"/>
          <w:iCs w:val="1"/>
          <w:color w:val="auto"/>
        </w:rPr>
        <w:t>Awards</w:t>
      </w:r>
      <w:r>
        <w:rPr>
          <w:rFonts w:ascii="Times New Roman" w:cs="Times New Roman" w:eastAsia="Times New Roman" w:hAnsi="Times New Roman"/>
          <w:sz w:val="20"/>
          <w:szCs w:val="20"/>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5871845"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80"/>
          </w:cols>
          <w:pgMar w:left="1360" w:top="788" w:right="1359" w:bottom="1440" w:gutter="0" w:footer="0" w:header="0"/>
        </w:sectPr>
      </w:pPr>
    </w:p>
    <w:bookmarkStart w:id="10" w:name="page11"/>
    <w:bookmarkEnd w:id="10"/>
    <w:p>
      <w:pPr>
        <w:ind w:firstLine="648"/>
        <w:spacing w:after="0"/>
        <w:rPr>
          <w:sz w:val="20"/>
          <w:szCs w:val="20"/>
          <w:color w:val="auto"/>
        </w:rPr>
      </w:pPr>
      <w:r>
        <w:rPr>
          <w:rFonts w:ascii="Times New Roman" w:cs="Times New Roman" w:eastAsia="Times New Roman" w:hAnsi="Times New Roman"/>
          <w:sz w:val="22"/>
          <w:szCs w:val="22"/>
          <w:color w:val="auto"/>
        </w:rPr>
        <w:t xml:space="preserve">2.5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Award Agreement</w:t>
      </w:r>
      <w:r>
        <w:rPr>
          <w:rFonts w:ascii="Times New Roman" w:cs="Times New Roman" w:eastAsia="Times New Roman" w:hAnsi="Times New Roman"/>
          <w:sz w:val="19"/>
          <w:szCs w:val="19"/>
          <w:color w:val="auto"/>
        </w:rPr>
        <w:t>” shall mean any written notice, agreement, terms and conditions,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contract or other instrument or document evidencing an Award, including through electronic medium, which shall contain such terms and conditions with respect to an Award as the Administrator shall determine consistent with the Plan.</w:t>
      </w:r>
    </w:p>
    <w:p>
      <w:pPr>
        <w:spacing w:after="0" w:line="336" w:lineRule="exact"/>
        <w:rPr>
          <w:sz w:val="20"/>
          <w:szCs w:val="20"/>
          <w:color w:val="auto"/>
        </w:rPr>
      </w:pPr>
    </w:p>
    <w:tbl>
      <w:tblPr>
        <w:tblLayout w:type="fixed"/>
        <w:tblInd w:w="640" w:type="dxa"/>
        <w:tblCellMar>
          <w:top w:w="0" w:type="dxa"/>
          <w:left w:w="0" w:type="dxa"/>
          <w:bottom w:w="0" w:type="dxa"/>
          <w:right w:w="0" w:type="dxa"/>
        </w:tblCellMar>
      </w:tblPr>
      <w:tr>
        <w:trPr>
          <w:trHeight w:val="282"/>
        </w:trPr>
        <w:tc>
          <w:tcPr>
            <w:tcW w:w="5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4"/>
              </w:rPr>
              <w:t>2.6</w:t>
            </w:r>
          </w:p>
        </w:tc>
        <w:tc>
          <w:tcPr>
            <w:tcW w:w="1320" w:type="dxa"/>
            <w:vAlign w:val="bottom"/>
          </w:tcPr>
          <w:p>
            <w:pPr>
              <w:ind w:left="2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w:t>
            </w:r>
          </w:p>
        </w:tc>
        <w:tc>
          <w:tcPr>
            <w:tcW w:w="500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shall mean the Board of Directors of the Company.</w:t>
            </w:r>
          </w:p>
        </w:tc>
      </w:tr>
      <w:tr>
        <w:trPr>
          <w:trHeight w:val="432"/>
        </w:trPr>
        <w:tc>
          <w:tcPr>
            <w:tcW w:w="5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4"/>
              </w:rPr>
              <w:t>2.7</w:t>
            </w:r>
          </w:p>
        </w:tc>
        <w:tc>
          <w:tcPr>
            <w:tcW w:w="2300" w:type="dxa"/>
            <w:vAlign w:val="bottom"/>
            <w:gridSpan w:val="2"/>
          </w:tcPr>
          <w:p>
            <w:pPr>
              <w:ind w:left="24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w:t>
            </w:r>
          </w:p>
        </w:tc>
        <w:tc>
          <w:tcPr>
            <w:tcW w:w="402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8"/>
              </w:rPr>
              <w:t>shall mean and includes each of the following:</w:t>
            </w:r>
          </w:p>
        </w:tc>
      </w:tr>
    </w:tbl>
    <w:p>
      <w:pPr>
        <w:spacing w:after="0" w:line="154" w:lineRule="exact"/>
        <w:rPr>
          <w:sz w:val="20"/>
          <w:szCs w:val="20"/>
          <w:color w:val="auto"/>
        </w:rPr>
      </w:pPr>
    </w:p>
    <w:p>
      <w:pPr>
        <w:ind w:firstLine="1290"/>
        <w:spacing w:after="0" w:line="215" w:lineRule="auto"/>
        <w:tabs>
          <w:tab w:leader="none" w:pos="199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or</w:t>
      </w:r>
    </w:p>
    <w:p>
      <w:pPr>
        <w:spacing w:after="0" w:line="147" w:lineRule="exact"/>
        <w:rPr>
          <w:rFonts w:ascii="Times New Roman" w:cs="Times New Roman" w:eastAsia="Times New Roman" w:hAnsi="Times New Roman"/>
          <w:sz w:val="20"/>
          <w:szCs w:val="20"/>
          <w:color w:val="auto"/>
        </w:rPr>
      </w:pPr>
    </w:p>
    <w:p>
      <w:pPr>
        <w:ind w:right="220" w:firstLine="1290"/>
        <w:spacing w:after="0" w:line="215" w:lineRule="auto"/>
        <w:tabs>
          <w:tab w:leader="none" w:pos="2008"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Section 2.7(a) or Section 2.7(c)) whose election by the Board or nomination for election by the Company’s stockholders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w:t>
      </w:r>
    </w:p>
    <w:p>
      <w:pPr>
        <w:spacing w:after="0" w:line="164" w:lineRule="exact"/>
        <w:rPr>
          <w:rFonts w:ascii="Times New Roman" w:cs="Times New Roman" w:eastAsia="Times New Roman" w:hAnsi="Times New Roman"/>
          <w:sz w:val="20"/>
          <w:szCs w:val="20"/>
          <w:color w:val="auto"/>
        </w:rPr>
      </w:pPr>
    </w:p>
    <w:p>
      <w:pPr>
        <w:ind w:firstLine="1290"/>
        <w:spacing w:after="0" w:line="220" w:lineRule="auto"/>
        <w:tabs>
          <w:tab w:leader="none" w:pos="1997"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78" w:lineRule="exact"/>
        <w:rPr>
          <w:rFonts w:ascii="Times New Roman" w:cs="Times New Roman" w:eastAsia="Times New Roman" w:hAnsi="Times New Roman"/>
          <w:sz w:val="20"/>
          <w:szCs w:val="20"/>
          <w:color w:val="auto"/>
        </w:rPr>
      </w:pPr>
    </w:p>
    <w:p>
      <w:pPr>
        <w:ind w:right="60" w:firstLine="1938"/>
        <w:spacing w:after="0" w:line="214" w:lineRule="auto"/>
        <w:tabs>
          <w:tab w:leader="none" w:pos="2679"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that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 and</w:t>
      </w:r>
    </w:p>
    <w:p>
      <w:pPr>
        <w:spacing w:after="0" w:line="188" w:lineRule="exact"/>
        <w:rPr>
          <w:rFonts w:ascii="Times New Roman" w:cs="Times New Roman" w:eastAsia="Times New Roman" w:hAnsi="Times New Roman"/>
          <w:sz w:val="22"/>
          <w:szCs w:val="22"/>
          <w:color w:val="auto"/>
        </w:rPr>
      </w:pPr>
    </w:p>
    <w:p>
      <w:pPr>
        <w:ind w:right="40" w:firstLine="1938"/>
        <w:spacing w:after="0" w:line="213" w:lineRule="auto"/>
        <w:tabs>
          <w:tab w:leader="none" w:pos="2698" w:val="left"/>
        </w:tabs>
        <w:numPr>
          <w:ilvl w:val="1"/>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 xml:space="preserve">after which no “person” or “related” group of “persons” (as such terms are used in Sections 13(d) and 14(d)(2) of the Exchange Act) beneficially owns voting securities representing 50% or more of the combined voting power of the Successor Entity;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person or related group of persons shall be treated for purposes of this Section 2.7(c)(ii) as beneficially owning 50% or more of the combined voting power of the Successor Entity solely as a result of the voting power held in the Company prior to the consummation of the transaction; or</w:t>
      </w:r>
    </w:p>
    <w:p>
      <w:pPr>
        <w:spacing w:after="0" w:line="156" w:lineRule="exact"/>
        <w:rPr>
          <w:rFonts w:ascii="Times New Roman" w:cs="Times New Roman" w:eastAsia="Times New Roman" w:hAnsi="Times New Roman"/>
          <w:sz w:val="22"/>
          <w:szCs w:val="22"/>
          <w:color w:val="auto"/>
        </w:rPr>
      </w:pPr>
    </w:p>
    <w:p>
      <w:pPr>
        <w:ind w:left="2000" w:hanging="710"/>
        <w:spacing w:after="0"/>
        <w:tabs>
          <w:tab w:leader="none" w:pos="200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Company’s stockholders approve a liquidation or dissolution of the Company.</w:t>
      </w:r>
    </w:p>
    <w:p>
      <w:pPr>
        <w:spacing w:after="0" w:line="189" w:lineRule="exact"/>
        <w:rPr>
          <w:sz w:val="20"/>
          <w:szCs w:val="20"/>
          <w:color w:val="auto"/>
        </w:rPr>
      </w:pPr>
    </w:p>
    <w:p>
      <w:pPr>
        <w:ind w:right="160" w:firstLine="648"/>
        <w:spacing w:after="0" w:line="234" w:lineRule="auto"/>
        <w:rPr>
          <w:sz w:val="20"/>
          <w:szCs w:val="20"/>
          <w:color w:val="auto"/>
        </w:rPr>
      </w:pPr>
      <w:r>
        <w:rPr>
          <w:rFonts w:ascii="Times New Roman" w:cs="Times New Roman" w:eastAsia="Times New Roman" w:hAnsi="Times New Roman"/>
          <w:sz w:val="19"/>
          <w:szCs w:val="19"/>
          <w:color w:val="auto"/>
        </w:rPr>
        <w:t>In addition, if a Change in Control constitutes a payment event with respect to any Award which provides for the deferral of compensation and is subject to Section 409A of the Code, the transaction or event described in</w:t>
      </w:r>
    </w:p>
    <w:p>
      <w:pPr>
        <w:spacing w:after="0" w:line="1" w:lineRule="exact"/>
        <w:rPr>
          <w:sz w:val="20"/>
          <w:szCs w:val="20"/>
          <w:color w:val="auto"/>
        </w:rPr>
      </w:pPr>
    </w:p>
    <w:p>
      <w:pPr>
        <w:ind w:right="620"/>
        <w:spacing w:after="0" w:line="221" w:lineRule="auto"/>
        <w:rPr>
          <w:sz w:val="20"/>
          <w:szCs w:val="20"/>
          <w:color w:val="auto"/>
        </w:rPr>
      </w:pPr>
      <w:r>
        <w:rPr>
          <w:rFonts w:ascii="Times New Roman" w:cs="Times New Roman" w:eastAsia="Times New Roman" w:hAnsi="Times New Roman"/>
          <w:sz w:val="20"/>
          <w:szCs w:val="20"/>
          <w:color w:val="auto"/>
        </w:rPr>
        <w:t>subsection (a), (b), (c) or (d) with respect to such Award must also constitute a “change in control event,” as defined in Treasury Regulation §1.409A-3(i)(5) to the extent required by Section 409A.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301625</wp:posOffset>
            </wp:positionV>
            <wp:extent cx="5871845"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60"/>
          </w:cols>
          <w:pgMar w:left="1360" w:top="436" w:right="1379" w:bottom="1440" w:gutter="0" w:footer="0" w:header="0"/>
        </w:sectPr>
      </w:pPr>
    </w:p>
    <w:bookmarkStart w:id="11" w:name="page12"/>
    <w:bookmarkEnd w:id="11"/>
    <w:p>
      <w:pPr>
        <w:jc w:val="both"/>
        <w:ind w:right="200" w:firstLine="648"/>
        <w:spacing w:after="0" w:line="230" w:lineRule="auto"/>
        <w:rPr>
          <w:sz w:val="20"/>
          <w:szCs w:val="20"/>
          <w:color w:val="auto"/>
        </w:rPr>
      </w:pPr>
      <w:r>
        <w:rPr>
          <w:rFonts w:ascii="Times New Roman" w:cs="Times New Roman" w:eastAsia="Times New Roman" w:hAnsi="Times New Roman"/>
          <w:sz w:val="20"/>
          <w:szCs w:val="20"/>
          <w:color w:val="auto"/>
        </w:rPr>
        <w:t>The Committee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2.8</w:t>
            </w: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w:t>
            </w:r>
          </w:p>
        </w:tc>
        <w:tc>
          <w:tcPr>
            <w:tcW w:w="628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w w:val="98"/>
              </w:rPr>
              <w:t>shall mean the Internal Revenue Code of 1986, as amended from time to time,</w:t>
            </w:r>
          </w:p>
        </w:tc>
      </w:tr>
      <w:tr>
        <w:trPr>
          <w:trHeight w:val="258"/>
        </w:trPr>
        <w:tc>
          <w:tcPr>
            <w:tcW w:w="88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together with the regulations and official guidance promulgated thereunder.</w:t>
            </w:r>
          </w:p>
        </w:tc>
      </w:tr>
      <w:tr>
        <w:trPr>
          <w:trHeight w:val="376"/>
        </w:trPr>
        <w:tc>
          <w:tcPr>
            <w:tcW w:w="1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2.9</w:t>
            </w:r>
          </w:p>
        </w:tc>
        <w:tc>
          <w:tcPr>
            <w:tcW w:w="1220" w:type="dxa"/>
            <w:vAlign w:val="bottom"/>
          </w:tcPr>
          <w:p>
            <w:pPr>
              <w:ind w:left="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5900" w:type="dxa"/>
            <w:vAlign w:val="bottom"/>
          </w:tcPr>
          <w:p>
            <w:pPr>
              <w:ind w:left="180"/>
              <w:spacing w:after="0"/>
              <w:rPr>
                <w:sz w:val="20"/>
                <w:szCs w:val="20"/>
                <w:color w:val="auto"/>
              </w:rPr>
            </w:pPr>
            <w:r>
              <w:rPr>
                <w:rFonts w:ascii="Times New Roman" w:cs="Times New Roman" w:eastAsia="Times New Roman" w:hAnsi="Times New Roman"/>
                <w:sz w:val="20"/>
                <w:szCs w:val="20"/>
                <w:color w:val="auto"/>
              </w:rPr>
              <w:t>shall mean the Compensation Committee of the Board, or another</w:t>
            </w:r>
          </w:p>
        </w:tc>
      </w:tr>
      <w:tr>
        <w:trPr>
          <w:trHeight w:val="258"/>
        </w:trPr>
        <w:tc>
          <w:tcPr>
            <w:tcW w:w="886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committee or subcommittee of the Board, appointed as provided in Section 11.1.</w:t>
            </w:r>
          </w:p>
        </w:tc>
      </w:tr>
      <w:tr>
        <w:trPr>
          <w:trHeight w:val="376"/>
        </w:trPr>
        <w:tc>
          <w:tcPr>
            <w:tcW w:w="1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2.10</w:t>
            </w:r>
          </w:p>
        </w:tc>
        <w:tc>
          <w:tcPr>
            <w:tcW w:w="1600" w:type="dxa"/>
            <w:vAlign w:val="bottom"/>
            <w:gridSpan w:val="2"/>
          </w:tcPr>
          <w:p>
            <w:pPr>
              <w:ind w:lef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w:t>
            </w:r>
          </w:p>
        </w:tc>
        <w:tc>
          <w:tcPr>
            <w:tcW w:w="5900" w:type="dxa"/>
            <w:vAlign w:val="bottom"/>
          </w:tcPr>
          <w:p>
            <w:pPr>
              <w:ind w:left="580"/>
              <w:spacing w:after="0"/>
              <w:rPr>
                <w:sz w:val="20"/>
                <w:szCs w:val="20"/>
                <w:color w:val="auto"/>
              </w:rPr>
            </w:pPr>
            <w:r>
              <w:rPr>
                <w:rFonts w:ascii="Times New Roman" w:cs="Times New Roman" w:eastAsia="Times New Roman" w:hAnsi="Times New Roman"/>
                <w:sz w:val="20"/>
                <w:szCs w:val="20"/>
                <w:color w:val="auto"/>
              </w:rPr>
              <w:t>shall mean the Class A common stock of the Company, par value</w:t>
            </w:r>
          </w:p>
        </w:tc>
      </w:tr>
      <w:tr>
        <w:trPr>
          <w:trHeight w:val="258"/>
        </w:trPr>
        <w:tc>
          <w:tcPr>
            <w:tcW w:w="1360" w:type="dxa"/>
            <w:vAlign w:val="bottom"/>
          </w:tcPr>
          <w:p>
            <w:pPr>
              <w:spacing w:after="0"/>
              <w:rPr>
                <w:sz w:val="20"/>
                <w:szCs w:val="20"/>
                <w:color w:val="auto"/>
              </w:rPr>
            </w:pPr>
            <w:r>
              <w:rPr>
                <w:rFonts w:ascii="Times New Roman" w:cs="Times New Roman" w:eastAsia="Times New Roman" w:hAnsi="Times New Roman"/>
                <w:sz w:val="20"/>
                <w:szCs w:val="20"/>
                <w:color w:val="auto"/>
                <w:w w:val="97"/>
              </w:rPr>
              <w:t>$0.001 per share.</w:t>
            </w:r>
          </w:p>
        </w:tc>
        <w:tc>
          <w:tcPr>
            <w:tcW w:w="1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5900" w:type="dxa"/>
            <w:vAlign w:val="bottom"/>
          </w:tcPr>
          <w:p>
            <w:pPr>
              <w:spacing w:after="0"/>
              <w:rPr>
                <w:sz w:val="22"/>
                <w:szCs w:val="22"/>
                <w:color w:val="auto"/>
              </w:rPr>
            </w:pPr>
          </w:p>
        </w:tc>
      </w:tr>
      <w:tr>
        <w:trPr>
          <w:trHeight w:val="438"/>
        </w:trPr>
        <w:tc>
          <w:tcPr>
            <w:tcW w:w="1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2.11</w:t>
            </w:r>
          </w:p>
        </w:tc>
        <w:tc>
          <w:tcPr>
            <w:tcW w:w="1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59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shall have the meaning set forth in Article 1.</w:t>
            </w:r>
          </w:p>
        </w:tc>
      </w:tr>
      <w:tr>
        <w:trPr>
          <w:trHeight w:val="392"/>
        </w:trPr>
        <w:tc>
          <w:tcPr>
            <w:tcW w:w="1360" w:type="dxa"/>
            <w:vAlign w:val="bottom"/>
          </w:tcPr>
          <w:p>
            <w:pPr>
              <w:ind w:left="640"/>
              <w:spacing w:after="0"/>
              <w:rPr>
                <w:sz w:val="20"/>
                <w:szCs w:val="20"/>
                <w:color w:val="auto"/>
              </w:rPr>
            </w:pPr>
            <w:r>
              <w:rPr>
                <w:rFonts w:ascii="Times New Roman" w:cs="Times New Roman" w:eastAsia="Times New Roman" w:hAnsi="Times New Roman"/>
                <w:sz w:val="22"/>
                <w:szCs w:val="22"/>
                <w:color w:val="auto"/>
              </w:rPr>
              <w:t>2.12</w:t>
            </w:r>
          </w:p>
        </w:tc>
        <w:tc>
          <w:tcPr>
            <w:tcW w:w="1220" w:type="dxa"/>
            <w:vAlign w:val="bottom"/>
          </w:tcPr>
          <w:p>
            <w:pPr>
              <w:ind w:left="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Consultant</w:t>
            </w: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5900" w:type="dxa"/>
            <w:vAlign w:val="bottom"/>
          </w:tcPr>
          <w:p>
            <w:pPr>
              <w:ind w:left="240"/>
              <w:spacing w:after="0"/>
              <w:rPr>
                <w:sz w:val="20"/>
                <w:szCs w:val="20"/>
                <w:color w:val="auto"/>
              </w:rPr>
            </w:pPr>
            <w:r>
              <w:rPr>
                <w:rFonts w:ascii="Times New Roman" w:cs="Times New Roman" w:eastAsia="Times New Roman" w:hAnsi="Times New Roman"/>
                <w:sz w:val="20"/>
                <w:szCs w:val="20"/>
                <w:color w:val="auto"/>
                <w:w w:val="99"/>
              </w:rPr>
              <w:t>shall mean any consultant or adviser engaged to provide services to the</w:t>
            </w:r>
          </w:p>
        </w:tc>
      </w:tr>
    </w:tbl>
    <w:p>
      <w:pPr>
        <w:ind w:right="60"/>
        <w:spacing w:after="0" w:line="228" w:lineRule="auto"/>
        <w:rPr>
          <w:sz w:val="20"/>
          <w:szCs w:val="20"/>
          <w:color w:val="auto"/>
        </w:rPr>
      </w:pPr>
      <w:r>
        <w:rPr>
          <w:rFonts w:ascii="Times New Roman" w:cs="Times New Roman" w:eastAsia="Times New Roman" w:hAnsi="Times New Roman"/>
          <w:sz w:val="20"/>
          <w:szCs w:val="20"/>
          <w:color w:val="auto"/>
        </w:rPr>
        <w:t>Company or any Subsidiary that qualifies as a consultant or advisor under the applicable rules of the Securities and Exchange Commission for registration of shares on a Form S-8 Registration Statement.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82"/>
        </w:trPr>
        <w:tc>
          <w:tcPr>
            <w:tcW w:w="1220" w:type="dxa"/>
            <w:vAlign w:val="bottom"/>
          </w:tcPr>
          <w:p>
            <w:pPr>
              <w:jc w:val="right"/>
              <w:ind w:right="96"/>
              <w:spacing w:after="0"/>
              <w:rPr>
                <w:sz w:val="20"/>
                <w:szCs w:val="20"/>
                <w:color w:val="auto"/>
              </w:rPr>
            </w:pPr>
            <w:r>
              <w:rPr>
                <w:rFonts w:ascii="Times New Roman" w:cs="Times New Roman" w:eastAsia="Times New Roman" w:hAnsi="Times New Roman"/>
                <w:sz w:val="22"/>
                <w:szCs w:val="22"/>
                <w:color w:val="auto"/>
              </w:rPr>
              <w:t>2.13</w:t>
            </w:r>
          </w:p>
        </w:tc>
        <w:tc>
          <w:tcPr>
            <w:tcW w:w="1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Director</w:t>
            </w: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6220" w:type="dxa"/>
            <w:vAlign w:val="bottom"/>
            <w:gridSpan w:val="2"/>
          </w:tcPr>
          <w:p>
            <w:pPr>
              <w:jc w:val="right"/>
              <w:ind w:right="681"/>
              <w:spacing w:after="0"/>
              <w:rPr>
                <w:sz w:val="20"/>
                <w:szCs w:val="20"/>
                <w:color w:val="auto"/>
              </w:rPr>
            </w:pPr>
            <w:r>
              <w:rPr>
                <w:rFonts w:ascii="Times New Roman" w:cs="Times New Roman" w:eastAsia="Times New Roman" w:hAnsi="Times New Roman"/>
                <w:sz w:val="20"/>
                <w:szCs w:val="20"/>
                <w:color w:val="auto"/>
                <w:w w:val="99"/>
              </w:rPr>
              <w:t>shall mean a member of the Board, as constituted from time to time.</w:t>
            </w:r>
          </w:p>
        </w:tc>
      </w:tr>
      <w:tr>
        <w:trPr>
          <w:trHeight w:val="370"/>
        </w:trPr>
        <w:tc>
          <w:tcPr>
            <w:tcW w:w="1220" w:type="dxa"/>
            <w:vAlign w:val="bottom"/>
          </w:tcPr>
          <w:p>
            <w:pPr>
              <w:jc w:val="right"/>
              <w:ind w:right="96"/>
              <w:spacing w:after="0"/>
              <w:rPr>
                <w:sz w:val="20"/>
                <w:szCs w:val="20"/>
                <w:color w:val="auto"/>
              </w:rPr>
            </w:pPr>
            <w:r>
              <w:rPr>
                <w:rFonts w:ascii="Times New Roman" w:cs="Times New Roman" w:eastAsia="Times New Roman" w:hAnsi="Times New Roman"/>
                <w:sz w:val="22"/>
                <w:szCs w:val="22"/>
                <w:color w:val="auto"/>
              </w:rPr>
              <w:t>2.14</w:t>
            </w:r>
          </w:p>
        </w:tc>
        <w:tc>
          <w:tcPr>
            <w:tcW w:w="1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6220" w:type="dxa"/>
            <w:vAlign w:val="bottom"/>
            <w:gridSpan w:val="2"/>
          </w:tcPr>
          <w:p>
            <w:pPr>
              <w:jc w:val="right"/>
              <w:ind w:right="221"/>
              <w:spacing w:after="0"/>
              <w:rPr>
                <w:sz w:val="20"/>
                <w:szCs w:val="20"/>
                <w:color w:val="auto"/>
              </w:rPr>
            </w:pPr>
            <w:r>
              <w:rPr>
                <w:rFonts w:ascii="Times New Roman" w:cs="Times New Roman" w:eastAsia="Times New Roman" w:hAnsi="Times New Roman"/>
                <w:sz w:val="20"/>
                <w:szCs w:val="20"/>
                <w:color w:val="auto"/>
              </w:rPr>
              <w:t>shall mean “disability,” as such term is defined in Section 22(e)(3) of the</w:t>
            </w: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Code.</w:t>
            </w: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80" w:type="dxa"/>
            <w:vAlign w:val="bottom"/>
          </w:tcPr>
          <w:p>
            <w:pPr>
              <w:spacing w:after="0"/>
              <w:rPr>
                <w:sz w:val="22"/>
                <w:szCs w:val="22"/>
                <w:color w:val="auto"/>
              </w:rPr>
            </w:pPr>
          </w:p>
        </w:tc>
      </w:tr>
      <w:tr>
        <w:trPr>
          <w:trHeight w:val="376"/>
        </w:trPr>
        <w:tc>
          <w:tcPr>
            <w:tcW w:w="1220" w:type="dxa"/>
            <w:vAlign w:val="bottom"/>
          </w:tcPr>
          <w:p>
            <w:pPr>
              <w:jc w:val="right"/>
              <w:ind w:right="96"/>
              <w:spacing w:after="0"/>
              <w:rPr>
                <w:sz w:val="20"/>
                <w:szCs w:val="20"/>
                <w:color w:val="auto"/>
              </w:rPr>
            </w:pPr>
            <w:r>
              <w:rPr>
                <w:rFonts w:ascii="Times New Roman" w:cs="Times New Roman" w:eastAsia="Times New Roman" w:hAnsi="Times New Roman"/>
                <w:sz w:val="22"/>
                <w:szCs w:val="22"/>
                <w:color w:val="auto"/>
              </w:rPr>
              <w:t>2.15</w:t>
            </w:r>
          </w:p>
        </w:tc>
        <w:tc>
          <w:tcPr>
            <w:tcW w:w="1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DRO</w:t>
            </w:r>
            <w:r>
              <w:rPr>
                <w:rFonts w:ascii="Times New Roman" w:cs="Times New Roman" w:eastAsia="Times New Roman" w:hAnsi="Times New Roman"/>
                <w:sz w:val="20"/>
                <w:szCs w:val="20"/>
                <w:color w:val="auto"/>
              </w:rPr>
              <w:t>”</w:t>
            </w:r>
          </w:p>
        </w:tc>
        <w:tc>
          <w:tcPr>
            <w:tcW w:w="6600" w:type="dxa"/>
            <w:vAlign w:val="bottom"/>
            <w:gridSpan w:val="3"/>
          </w:tcPr>
          <w:p>
            <w:pPr>
              <w:jc w:val="right"/>
              <w:ind w:right="281"/>
              <w:spacing w:after="0"/>
              <w:rPr>
                <w:sz w:val="20"/>
                <w:szCs w:val="20"/>
                <w:color w:val="auto"/>
              </w:rPr>
            </w:pPr>
            <w:r>
              <w:rPr>
                <w:rFonts w:ascii="Times New Roman" w:cs="Times New Roman" w:eastAsia="Times New Roman" w:hAnsi="Times New Roman"/>
                <w:sz w:val="20"/>
                <w:szCs w:val="20"/>
                <w:color w:val="auto"/>
              </w:rPr>
              <w:t>shall mean a domestic relations order as defined by the Code or Title I of the</w:t>
            </w:r>
          </w:p>
        </w:tc>
      </w:tr>
      <w:tr>
        <w:trPr>
          <w:trHeight w:val="258"/>
        </w:trPr>
        <w:tc>
          <w:tcPr>
            <w:tcW w:w="91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Employee Retirement Income Security Act of 1974, as amended from time to time, or the rules thereunder.</w:t>
            </w:r>
          </w:p>
        </w:tc>
      </w:tr>
      <w:tr>
        <w:trPr>
          <w:trHeight w:val="376"/>
        </w:trPr>
        <w:tc>
          <w:tcPr>
            <w:tcW w:w="1220" w:type="dxa"/>
            <w:vAlign w:val="bottom"/>
          </w:tcPr>
          <w:p>
            <w:pPr>
              <w:jc w:val="right"/>
              <w:ind w:right="96"/>
              <w:spacing w:after="0"/>
              <w:rPr>
                <w:sz w:val="20"/>
                <w:szCs w:val="20"/>
                <w:color w:val="auto"/>
              </w:rPr>
            </w:pPr>
            <w:r>
              <w:rPr>
                <w:rFonts w:ascii="Times New Roman" w:cs="Times New Roman" w:eastAsia="Times New Roman" w:hAnsi="Times New Roman"/>
                <w:sz w:val="22"/>
                <w:szCs w:val="22"/>
                <w:color w:val="auto"/>
              </w:rPr>
              <w:t>2.16</w:t>
            </w: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5880" w:type="dxa"/>
            <w:vAlign w:val="bottom"/>
          </w:tcPr>
          <w:p>
            <w:pPr>
              <w:jc w:val="right"/>
              <w:ind w:right="221"/>
              <w:spacing w:after="0"/>
              <w:rPr>
                <w:sz w:val="20"/>
                <w:szCs w:val="20"/>
                <w:color w:val="auto"/>
              </w:rPr>
            </w:pPr>
            <w:r>
              <w:rPr>
                <w:rFonts w:ascii="Times New Roman" w:cs="Times New Roman" w:eastAsia="Times New Roman" w:hAnsi="Times New Roman"/>
                <w:sz w:val="20"/>
                <w:szCs w:val="20"/>
                <w:color w:val="auto"/>
              </w:rPr>
              <w:t>shall mean the date of the Annual Meeting of the Stockholders to be</w:t>
            </w:r>
          </w:p>
        </w:tc>
      </w:tr>
      <w:tr>
        <w:trPr>
          <w:trHeight w:val="258"/>
        </w:trPr>
        <w:tc>
          <w:tcPr>
            <w:tcW w:w="91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held on June 3, 2021 or such other date upon which the Company’s stockholders approve the Plan.</w:t>
            </w:r>
          </w:p>
        </w:tc>
      </w:tr>
      <w:tr>
        <w:trPr>
          <w:trHeight w:val="376"/>
        </w:trPr>
        <w:tc>
          <w:tcPr>
            <w:tcW w:w="1220" w:type="dxa"/>
            <w:vAlign w:val="bottom"/>
          </w:tcPr>
          <w:p>
            <w:pPr>
              <w:jc w:val="right"/>
              <w:ind w:right="96"/>
              <w:spacing w:after="0"/>
              <w:rPr>
                <w:sz w:val="20"/>
                <w:szCs w:val="20"/>
                <w:color w:val="auto"/>
              </w:rPr>
            </w:pPr>
            <w:r>
              <w:rPr>
                <w:rFonts w:ascii="Times New Roman" w:cs="Times New Roman" w:eastAsia="Times New Roman" w:hAnsi="Times New Roman"/>
                <w:sz w:val="22"/>
                <w:szCs w:val="22"/>
                <w:color w:val="auto"/>
              </w:rPr>
              <w:t>2.17</w:t>
            </w:r>
          </w:p>
        </w:tc>
        <w:tc>
          <w:tcPr>
            <w:tcW w:w="20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Individual</w:t>
            </w:r>
            <w:r>
              <w:rPr>
                <w:rFonts w:ascii="Times New Roman" w:cs="Times New Roman" w:eastAsia="Times New Roman" w:hAnsi="Times New Roman"/>
                <w:sz w:val="20"/>
                <w:szCs w:val="20"/>
                <w:color w:val="auto"/>
              </w:rPr>
              <w:t>”</w:t>
            </w:r>
          </w:p>
        </w:tc>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shall mean any person who is an Employee, a Consultant or a Non-</w:t>
            </w:r>
          </w:p>
        </w:tc>
      </w:tr>
      <w:tr>
        <w:trPr>
          <w:trHeight w:val="258"/>
        </w:trPr>
        <w:tc>
          <w:tcPr>
            <w:tcW w:w="91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Employee Director, as determined by the Administrator.</w:t>
            </w:r>
          </w:p>
        </w:tc>
      </w:tr>
      <w:tr>
        <w:trPr>
          <w:trHeight w:val="376"/>
        </w:trPr>
        <w:tc>
          <w:tcPr>
            <w:tcW w:w="1220" w:type="dxa"/>
            <w:vAlign w:val="bottom"/>
          </w:tcPr>
          <w:p>
            <w:pPr>
              <w:jc w:val="right"/>
              <w:ind w:right="96"/>
              <w:spacing w:after="0"/>
              <w:rPr>
                <w:sz w:val="20"/>
                <w:szCs w:val="20"/>
                <w:color w:val="auto"/>
              </w:rPr>
            </w:pPr>
            <w:r>
              <w:rPr>
                <w:rFonts w:ascii="Times New Roman" w:cs="Times New Roman" w:eastAsia="Times New Roman" w:hAnsi="Times New Roman"/>
                <w:sz w:val="22"/>
                <w:szCs w:val="22"/>
                <w:color w:val="auto"/>
              </w:rPr>
              <w:t>2.18</w:t>
            </w:r>
          </w:p>
        </w:tc>
        <w:tc>
          <w:tcPr>
            <w:tcW w:w="134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w:t>
            </w:r>
          </w:p>
        </w:tc>
        <w:tc>
          <w:tcPr>
            <w:tcW w:w="380" w:type="dxa"/>
            <w:vAlign w:val="bottom"/>
          </w:tcPr>
          <w:p>
            <w:pPr>
              <w:spacing w:after="0"/>
              <w:rPr>
                <w:sz w:val="24"/>
                <w:szCs w:val="24"/>
                <w:color w:val="auto"/>
              </w:rPr>
            </w:pPr>
          </w:p>
        </w:tc>
        <w:tc>
          <w:tcPr>
            <w:tcW w:w="622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shall mean any officer or other employee (as determined in accordance with</w:t>
            </w:r>
          </w:p>
        </w:tc>
      </w:tr>
      <w:tr>
        <w:trPr>
          <w:trHeight w:val="258"/>
        </w:trPr>
        <w:tc>
          <w:tcPr>
            <w:tcW w:w="916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Section 3401(c) of the Code and the Treasury Regulations thereunder) of the Company or of any Subsidiary.</w:t>
            </w:r>
          </w:p>
        </w:tc>
      </w:tr>
      <w:tr>
        <w:trPr>
          <w:trHeight w:val="376"/>
        </w:trPr>
        <w:tc>
          <w:tcPr>
            <w:tcW w:w="1220" w:type="dxa"/>
            <w:vAlign w:val="bottom"/>
          </w:tcPr>
          <w:p>
            <w:pPr>
              <w:jc w:val="right"/>
              <w:ind w:right="96"/>
              <w:spacing w:after="0"/>
              <w:rPr>
                <w:sz w:val="20"/>
                <w:szCs w:val="20"/>
                <w:color w:val="auto"/>
              </w:rPr>
            </w:pPr>
            <w:r>
              <w:rPr>
                <w:rFonts w:ascii="Times New Roman" w:cs="Times New Roman" w:eastAsia="Times New Roman" w:hAnsi="Times New Roman"/>
                <w:sz w:val="22"/>
                <w:szCs w:val="22"/>
                <w:color w:val="auto"/>
              </w:rPr>
              <w:t>2.19</w:t>
            </w: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w:t>
            </w:r>
          </w:p>
        </w:tc>
        <w:tc>
          <w:tcPr>
            <w:tcW w:w="340" w:type="dxa"/>
            <w:vAlign w:val="bottom"/>
          </w:tcPr>
          <w:p>
            <w:pPr>
              <w:spacing w:after="0"/>
              <w:rPr>
                <w:sz w:val="24"/>
                <w:szCs w:val="24"/>
                <w:color w:val="auto"/>
              </w:rPr>
            </w:pPr>
          </w:p>
        </w:tc>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shall mean the Securities Exchange Act of 1934, as amended from time</w:t>
            </w: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to time.</w:t>
            </w: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80" w:type="dxa"/>
            <w:vAlign w:val="bottom"/>
          </w:tcPr>
          <w:p>
            <w:pPr>
              <w:spacing w:after="0"/>
              <w:rPr>
                <w:sz w:val="22"/>
                <w:szCs w:val="22"/>
                <w:color w:val="auto"/>
              </w:rPr>
            </w:pPr>
          </w:p>
        </w:tc>
      </w:tr>
      <w:tr>
        <w:trPr>
          <w:trHeight w:val="438"/>
        </w:trPr>
        <w:tc>
          <w:tcPr>
            <w:tcW w:w="1220" w:type="dxa"/>
            <w:vAlign w:val="bottom"/>
          </w:tcPr>
          <w:p>
            <w:pPr>
              <w:jc w:val="right"/>
              <w:ind w:right="96"/>
              <w:spacing w:after="0"/>
              <w:rPr>
                <w:sz w:val="20"/>
                <w:szCs w:val="20"/>
                <w:color w:val="auto"/>
              </w:rPr>
            </w:pPr>
            <w:r>
              <w:rPr>
                <w:rFonts w:ascii="Times New Roman" w:cs="Times New Roman" w:eastAsia="Times New Roman" w:hAnsi="Times New Roman"/>
                <w:sz w:val="22"/>
                <w:szCs w:val="22"/>
                <w:color w:val="auto"/>
              </w:rPr>
              <w:t>2.20</w:t>
            </w:r>
          </w:p>
        </w:tc>
        <w:tc>
          <w:tcPr>
            <w:tcW w:w="17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Expiration Date</w:t>
            </w:r>
            <w:r>
              <w:rPr>
                <w:rFonts w:ascii="Times New Roman" w:cs="Times New Roman" w:eastAsia="Times New Roman" w:hAnsi="Times New Roman"/>
                <w:sz w:val="20"/>
                <w:szCs w:val="20"/>
                <w:color w:val="auto"/>
                <w:w w:val="99"/>
              </w:rPr>
              <w:t>”</w:t>
            </w:r>
          </w:p>
        </w:tc>
        <w:tc>
          <w:tcPr>
            <w:tcW w:w="340" w:type="dxa"/>
            <w:vAlign w:val="bottom"/>
          </w:tcPr>
          <w:p>
            <w:pPr>
              <w:spacing w:after="0"/>
              <w:rPr>
                <w:sz w:val="24"/>
                <w:szCs w:val="24"/>
                <w:color w:val="auto"/>
              </w:rPr>
            </w:pPr>
          </w:p>
        </w:tc>
        <w:tc>
          <w:tcPr>
            <w:tcW w:w="5880" w:type="dxa"/>
            <w:vAlign w:val="bottom"/>
          </w:tcPr>
          <w:p>
            <w:pPr>
              <w:jc w:val="right"/>
              <w:ind w:right="601"/>
              <w:spacing w:after="0"/>
              <w:rPr>
                <w:sz w:val="20"/>
                <w:szCs w:val="20"/>
                <w:color w:val="auto"/>
              </w:rPr>
            </w:pPr>
            <w:r>
              <w:rPr>
                <w:rFonts w:ascii="Times New Roman" w:cs="Times New Roman" w:eastAsia="Times New Roman" w:hAnsi="Times New Roman"/>
                <w:sz w:val="20"/>
                <w:szCs w:val="20"/>
                <w:color w:val="auto"/>
              </w:rPr>
              <w:t>shall have the meaning given to such term in Section 12.1(c).</w:t>
            </w:r>
          </w:p>
        </w:tc>
      </w:tr>
      <w:tr>
        <w:trPr>
          <w:trHeight w:val="370"/>
        </w:trPr>
        <w:tc>
          <w:tcPr>
            <w:tcW w:w="1220" w:type="dxa"/>
            <w:vAlign w:val="bottom"/>
          </w:tcPr>
          <w:p>
            <w:pPr>
              <w:jc w:val="right"/>
              <w:ind w:right="96"/>
              <w:spacing w:after="0"/>
              <w:rPr>
                <w:sz w:val="20"/>
                <w:szCs w:val="20"/>
                <w:color w:val="auto"/>
              </w:rPr>
            </w:pPr>
            <w:r>
              <w:rPr>
                <w:rFonts w:ascii="Times New Roman" w:cs="Times New Roman" w:eastAsia="Times New Roman" w:hAnsi="Times New Roman"/>
                <w:sz w:val="22"/>
                <w:szCs w:val="22"/>
                <w:color w:val="auto"/>
              </w:rPr>
              <w:t>2.21</w:t>
            </w:r>
          </w:p>
        </w:tc>
        <w:tc>
          <w:tcPr>
            <w:tcW w:w="206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w:t>
            </w:r>
          </w:p>
        </w:tc>
        <w:tc>
          <w:tcPr>
            <w:tcW w:w="5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shall mean, as of any given date, the value of a Share determined as</w:t>
            </w:r>
          </w:p>
        </w:tc>
      </w:tr>
      <w:tr>
        <w:trPr>
          <w:trHeight w:val="258"/>
        </w:trPr>
        <w:tc>
          <w:tcPr>
            <w:tcW w:w="1220" w:type="dxa"/>
            <w:vAlign w:val="bottom"/>
          </w:tcPr>
          <w:p>
            <w:pPr>
              <w:spacing w:after="0"/>
              <w:rPr>
                <w:sz w:val="20"/>
                <w:szCs w:val="20"/>
                <w:color w:val="auto"/>
              </w:rPr>
            </w:pPr>
            <w:r>
              <w:rPr>
                <w:rFonts w:ascii="Times New Roman" w:cs="Times New Roman" w:eastAsia="Times New Roman" w:hAnsi="Times New Roman"/>
                <w:sz w:val="20"/>
                <w:szCs w:val="20"/>
                <w:color w:val="auto"/>
              </w:rPr>
              <w:t>follows:</w:t>
            </w:r>
          </w:p>
        </w:tc>
        <w:tc>
          <w:tcPr>
            <w:tcW w:w="1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880" w:type="dxa"/>
            <w:vAlign w:val="bottom"/>
          </w:tcPr>
          <w:p>
            <w:pPr>
              <w:spacing w:after="0"/>
              <w:rPr>
                <w:sz w:val="22"/>
                <w:szCs w:val="22"/>
                <w:color w:val="auto"/>
              </w:rPr>
            </w:pPr>
          </w:p>
        </w:tc>
      </w:tr>
    </w:tbl>
    <w:p>
      <w:pPr>
        <w:spacing w:after="0" w:line="160" w:lineRule="exact"/>
        <w:rPr>
          <w:sz w:val="20"/>
          <w:szCs w:val="20"/>
          <w:color w:val="auto"/>
        </w:rPr>
      </w:pPr>
    </w:p>
    <w:p>
      <w:pPr>
        <w:jc w:val="both"/>
        <w:ind w:right="60" w:firstLine="1290"/>
        <w:spacing w:after="0" w:line="230" w:lineRule="auto"/>
        <w:tabs>
          <w:tab w:leader="none" w:pos="1997"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Common Stock is listed on any (i) established securities exchange (such as the New York Stock Exchange, the NASDAQ Global Market and the NASDAQ Global Select Market), (ii) national market system or (iii) automated quotation system on which the Shares are listed, quoted or traded, its Fair</w:t>
      </w:r>
    </w:p>
    <w:p>
      <w:pPr>
        <w:spacing w:after="0" w:line="14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370205</wp:posOffset>
            </wp:positionV>
            <wp:extent cx="5871845" cy="508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0"/>
          </w:cols>
          <w:pgMar w:left="1360" w:top="441" w:right="1379" w:bottom="1440" w:gutter="0" w:footer="0" w:header="0"/>
        </w:sectPr>
      </w:pPr>
    </w:p>
    <w:bookmarkStart w:id="12" w:name="page13"/>
    <w:bookmarkEnd w:id="12"/>
    <w:p>
      <w:pPr>
        <w:ind w:left="6" w:right="160"/>
        <w:spacing w:after="0" w:line="234" w:lineRule="auto"/>
        <w:rPr>
          <w:sz w:val="20"/>
          <w:szCs w:val="20"/>
          <w:color w:val="auto"/>
        </w:rPr>
      </w:pPr>
      <w:r>
        <w:rPr>
          <w:rFonts w:ascii="Times New Roman" w:cs="Times New Roman" w:eastAsia="Times New Roman" w:hAnsi="Times New Roman"/>
          <w:sz w:val="19"/>
          <w:szCs w:val="19"/>
          <w:color w:val="auto"/>
        </w:rPr>
        <w:t>Market Value shall be the closing sales price for a share of Common Stock as quoted on such exchange or system for such date or, if there is no closing sales price for a share of Common Stock on the date in question, the closing</w:t>
      </w:r>
    </w:p>
    <w:p>
      <w:pPr>
        <w:spacing w:after="0" w:line="1" w:lineRule="exact"/>
        <w:rPr>
          <w:sz w:val="20"/>
          <w:szCs w:val="20"/>
          <w:color w:val="auto"/>
        </w:rPr>
      </w:pPr>
    </w:p>
    <w:p>
      <w:pPr>
        <w:ind w:left="6" w:right="180"/>
        <w:spacing w:after="0" w:line="221" w:lineRule="auto"/>
        <w:rPr>
          <w:sz w:val="20"/>
          <w:szCs w:val="20"/>
          <w:color w:val="auto"/>
        </w:rPr>
      </w:pPr>
      <w:r>
        <w:rPr>
          <w:rFonts w:ascii="Times New Roman" w:cs="Times New Roman" w:eastAsia="Times New Roman" w:hAnsi="Times New Roman"/>
          <w:sz w:val="20"/>
          <w:szCs w:val="20"/>
          <w:color w:val="auto"/>
        </w:rPr>
        <w:t xml:space="preserve">sales price for a share of Common Stock on the last preceding date for which such quotation exists, as reported in </w:t>
      </w:r>
      <w:r>
        <w:rPr>
          <w:rFonts w:ascii="Times New Roman" w:cs="Times New Roman" w:eastAsia="Times New Roman" w:hAnsi="Times New Roman"/>
          <w:sz w:val="20"/>
          <w:szCs w:val="20"/>
          <w:i w:val="1"/>
          <w:iCs w:val="1"/>
          <w:color w:val="auto"/>
        </w:rPr>
        <w:t xml:space="preserve">The Wall Street Journal </w:t>
      </w:r>
      <w:r>
        <w:rPr>
          <w:rFonts w:ascii="Times New Roman" w:cs="Times New Roman" w:eastAsia="Times New Roman" w:hAnsi="Times New Roman"/>
          <w:sz w:val="20"/>
          <w:szCs w:val="20"/>
          <w:color w:val="auto"/>
        </w:rPr>
        <w:t>or such other source as the Administrator deems reliable;</w:t>
      </w:r>
    </w:p>
    <w:p>
      <w:pPr>
        <w:spacing w:after="0" w:line="162" w:lineRule="exact"/>
        <w:rPr>
          <w:sz w:val="20"/>
          <w:szCs w:val="20"/>
          <w:color w:val="auto"/>
        </w:rPr>
      </w:pPr>
    </w:p>
    <w:p>
      <w:pPr>
        <w:ind w:left="6" w:firstLine="1290"/>
        <w:spacing w:after="0" w:line="218" w:lineRule="auto"/>
        <w:tabs>
          <w:tab w:leader="none" w:pos="201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Common Stock is not listed on an established securities exchange, national market system or automated quotation system, but the Common Stock is regularly quoted by a recognized securities dealer, its Fair Market Value shall be the mean of the high bid and low asked prices for such date or, if there are no high bid and low asked prices for a share of Common Stock on such date, the high bid and low asked prices for a share of Common Stock on the last preceding date for which such information exists, as reported in </w:t>
      </w:r>
      <w:r>
        <w:rPr>
          <w:rFonts w:ascii="Times New Roman" w:cs="Times New Roman" w:eastAsia="Times New Roman" w:hAnsi="Times New Roman"/>
          <w:sz w:val="20"/>
          <w:szCs w:val="20"/>
          <w:i w:val="1"/>
          <w:iCs w:val="1"/>
          <w:color w:val="auto"/>
        </w:rPr>
        <w:t>The Wall Street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 xml:space="preserve">Journal </w:t>
      </w:r>
      <w:r>
        <w:rPr>
          <w:rFonts w:ascii="Times New Roman" w:cs="Times New Roman" w:eastAsia="Times New Roman" w:hAnsi="Times New Roman"/>
          <w:sz w:val="20"/>
          <w:szCs w:val="20"/>
          <w:color w:val="auto"/>
        </w:rPr>
        <w:t>or such other source as the Administrator deems reliable; or</w:t>
      </w:r>
    </w:p>
    <w:p>
      <w:pPr>
        <w:spacing w:after="0" w:line="150" w:lineRule="exact"/>
        <w:rPr>
          <w:rFonts w:ascii="Times New Roman" w:cs="Times New Roman" w:eastAsia="Times New Roman" w:hAnsi="Times New Roman"/>
          <w:sz w:val="20"/>
          <w:szCs w:val="20"/>
          <w:color w:val="auto"/>
        </w:rPr>
      </w:pPr>
    </w:p>
    <w:p>
      <w:pPr>
        <w:ind w:left="6" w:right="140" w:firstLine="1290"/>
        <w:spacing w:after="0" w:line="234" w:lineRule="auto"/>
        <w:tabs>
          <w:tab w:leader="none" w:pos="2003"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the Common Stock is neither listed on an established securities exchange, national market system or automated quotation system nor regularly quoted by a recognized securities dealer, its Fair Market Value shall be established by the Administrator in good faith by the reasonable application of a reasonable valuation method, taking into account the factors set forth in Treasury Regulation §1.409A-1(b)(5)(iv)(B).</w:t>
      </w:r>
    </w:p>
    <w:p>
      <w:pPr>
        <w:spacing w:after="0" w:line="156" w:lineRule="exact"/>
        <w:rPr>
          <w:sz w:val="20"/>
          <w:szCs w:val="20"/>
          <w:color w:val="auto"/>
        </w:rPr>
      </w:pPr>
    </w:p>
    <w:p>
      <w:pPr>
        <w:ind w:left="6" w:right="180" w:firstLine="648"/>
        <w:spacing w:after="0" w:line="233" w:lineRule="auto"/>
        <w:rPr>
          <w:sz w:val="20"/>
          <w:szCs w:val="20"/>
          <w:color w:val="auto"/>
        </w:rPr>
      </w:pPr>
      <w:r>
        <w:rPr>
          <w:rFonts w:ascii="Times New Roman" w:cs="Times New Roman" w:eastAsia="Times New Roman" w:hAnsi="Times New Roman"/>
          <w:sz w:val="22"/>
          <w:szCs w:val="22"/>
          <w:color w:val="auto"/>
        </w:rPr>
        <w:t xml:space="preserve">2.22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Greater Than 10% Stockholder</w:t>
      </w:r>
      <w:r>
        <w:rPr>
          <w:rFonts w:ascii="Times New Roman" w:cs="Times New Roman" w:eastAsia="Times New Roman" w:hAnsi="Times New Roman"/>
          <w:sz w:val="19"/>
          <w:szCs w:val="19"/>
          <w:color w:val="auto"/>
        </w:rPr>
        <w:t>” shall mean an individual then owning (within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meaning of Section 424(d) of the Code) more than 10% of the total combined voting power of all classes of stock of the Company or any subsidiary corporation (as defined in Section 424(f) of the Code) or parent corporation thereof (as defined in Section 424(e) of the Code).</w:t>
      </w:r>
    </w:p>
    <w:p>
      <w:pPr>
        <w:spacing w:after="0" w:line="144" w:lineRule="exact"/>
        <w:rPr>
          <w:sz w:val="20"/>
          <w:szCs w:val="20"/>
          <w:color w:val="auto"/>
        </w:rPr>
      </w:pPr>
    </w:p>
    <w:tbl>
      <w:tblPr>
        <w:tblLayout w:type="fixed"/>
        <w:tblInd w:w="646" w:type="dxa"/>
        <w:tblCellMar>
          <w:top w:w="0" w:type="dxa"/>
          <w:left w:w="0" w:type="dxa"/>
          <w:bottom w:w="0" w:type="dxa"/>
          <w:right w:w="0" w:type="dxa"/>
        </w:tblCellMar>
      </w:tblPr>
      <w:tr>
        <w:trPr>
          <w:trHeight w:val="282"/>
        </w:trPr>
        <w:tc>
          <w:tcPr>
            <w:tcW w:w="5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3"/>
              </w:rPr>
              <w:t>2.23</w:t>
            </w:r>
          </w:p>
        </w:tc>
        <w:tc>
          <w:tcPr>
            <w:tcW w:w="130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Holder</w:t>
            </w:r>
            <w:r>
              <w:rPr>
                <w:rFonts w:ascii="Times New Roman" w:cs="Times New Roman" w:eastAsia="Times New Roman" w:hAnsi="Times New Roman"/>
                <w:sz w:val="20"/>
                <w:szCs w:val="20"/>
                <w:color w:val="auto"/>
              </w:rPr>
              <w:t>”</w:t>
            </w:r>
          </w:p>
        </w:tc>
        <w:tc>
          <w:tcPr>
            <w:tcW w:w="6620" w:type="dxa"/>
            <w:vAlign w:val="bottom"/>
            <w:gridSpan w:val="2"/>
          </w:tcPr>
          <w:p>
            <w:pPr>
              <w:ind w:left="340"/>
              <w:spacing w:after="0"/>
              <w:rPr>
                <w:sz w:val="20"/>
                <w:szCs w:val="20"/>
                <w:color w:val="auto"/>
              </w:rPr>
            </w:pPr>
            <w:r>
              <w:rPr>
                <w:rFonts w:ascii="Times New Roman" w:cs="Times New Roman" w:eastAsia="Times New Roman" w:hAnsi="Times New Roman"/>
                <w:sz w:val="20"/>
                <w:szCs w:val="20"/>
                <w:color w:val="auto"/>
              </w:rPr>
              <w:t>shall mean a person who has been granted an Award.</w:t>
            </w:r>
          </w:p>
        </w:tc>
      </w:tr>
      <w:tr>
        <w:trPr>
          <w:trHeight w:val="392"/>
        </w:trPr>
        <w:tc>
          <w:tcPr>
            <w:tcW w:w="5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3"/>
              </w:rPr>
              <w:t>2.24</w:t>
            </w:r>
          </w:p>
        </w:tc>
        <w:tc>
          <w:tcPr>
            <w:tcW w:w="260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Incentive Stock Option</w:t>
            </w:r>
            <w:r>
              <w:rPr>
                <w:rFonts w:ascii="Times New Roman" w:cs="Times New Roman" w:eastAsia="Times New Roman" w:hAnsi="Times New Roman"/>
                <w:sz w:val="20"/>
                <w:szCs w:val="20"/>
                <w:color w:val="auto"/>
              </w:rPr>
              <w:t>”</w:t>
            </w:r>
          </w:p>
        </w:tc>
        <w:tc>
          <w:tcPr>
            <w:tcW w:w="5320" w:type="dxa"/>
            <w:vAlign w:val="bottom"/>
          </w:tcPr>
          <w:p>
            <w:pPr>
              <w:ind w:left="340"/>
              <w:spacing w:after="0"/>
              <w:rPr>
                <w:sz w:val="20"/>
                <w:szCs w:val="20"/>
                <w:color w:val="auto"/>
              </w:rPr>
            </w:pPr>
            <w:r>
              <w:rPr>
                <w:rFonts w:ascii="Times New Roman" w:cs="Times New Roman" w:eastAsia="Times New Roman" w:hAnsi="Times New Roman"/>
                <w:sz w:val="20"/>
                <w:szCs w:val="20"/>
                <w:color w:val="auto"/>
                <w:w w:val="98"/>
              </w:rPr>
              <w:t>shall mean an Option that is intended to qualify as an incentive</w:t>
            </w:r>
          </w:p>
        </w:tc>
      </w:tr>
    </w:tbl>
    <w:p>
      <w:pPr>
        <w:ind w:left="6"/>
        <w:spacing w:after="0"/>
        <w:rPr>
          <w:sz w:val="20"/>
          <w:szCs w:val="20"/>
          <w:color w:val="auto"/>
        </w:rPr>
      </w:pPr>
      <w:r>
        <w:rPr>
          <w:rFonts w:ascii="Times New Roman" w:cs="Times New Roman" w:eastAsia="Times New Roman" w:hAnsi="Times New Roman"/>
          <w:sz w:val="20"/>
          <w:szCs w:val="20"/>
          <w:color w:val="auto"/>
        </w:rPr>
        <w:t>stock option and conforms to the applicable provisions of Section 422 of the Code.</w:t>
      </w:r>
    </w:p>
    <w:p>
      <w:pPr>
        <w:spacing w:after="0" w:line="152" w:lineRule="exact"/>
        <w:rPr>
          <w:sz w:val="20"/>
          <w:szCs w:val="20"/>
          <w:color w:val="auto"/>
        </w:rPr>
      </w:pPr>
    </w:p>
    <w:p>
      <w:pPr>
        <w:ind w:left="646"/>
        <w:spacing w:after="0"/>
        <w:tabs>
          <w:tab w:leader="none" w:pos="1406" w:val="left"/>
          <w:tab w:leader="none" w:pos="3226" w:val="left"/>
        </w:tabs>
        <w:rPr>
          <w:sz w:val="20"/>
          <w:szCs w:val="20"/>
          <w:color w:val="auto"/>
        </w:rPr>
      </w:pPr>
      <w:r>
        <w:rPr>
          <w:rFonts w:ascii="Times New Roman" w:cs="Times New Roman" w:eastAsia="Times New Roman" w:hAnsi="Times New Roman"/>
          <w:sz w:val="22"/>
          <w:szCs w:val="22"/>
          <w:color w:val="auto"/>
        </w:rPr>
        <w:t>2.25</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Misconduct</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mean the occurrence of any of, but not limited to, the following:</w:t>
      </w:r>
    </w:p>
    <w:p>
      <w:pPr>
        <w:ind w:left="6" w:right="20" w:hanging="6"/>
        <w:spacing w:after="0" w:line="209" w:lineRule="auto"/>
        <w:tabs>
          <w:tab w:leader="none" w:pos="275"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conviction of a Holder of any felony or any crime involving fraud or dishonesty; (b) a Holder’s participation (whether by affirmative act or omission) in a fraud, act or dishonesty or other act of misconduct against the Company and/or any Subsidiary; (c) conduct by a Holder which, based upon a good faith and reasonable factual investigation by the Company (or, if a Holder is an executive officer, by the Board), demonstrates such Holder’s unfitness to serve; (d) a Holder’s violation of any statutory or fiduciary duty, or duty of loyalty owed to the Company and/or any Subsidiary; (e) a Holder’s violation of state or federal law in connection with the Holder’s performance of his or her job which has an adverse effect on the Company and/or any Subsidiary; and (f) a Holder’s violation of Company policy which has a material adverse effect on the Company and/or any Subsidiary. Notwithstanding the foregoing, a Holder’s Disability shall not constitute Misconduct as set forth herein. The determination that a termination is for Misconduct shall be by the Administrator in its sole and exclusive judgment and discretion. Notwithstanding the foregoing, if a Holder is a party to an employment or severance agreement with the Company or any Subsidiary in effect as of the date of grant of an Award which defines “Misconduct” or “Cause” or a similar term, “Misconduct” for purposes of the Plan and such Award shall also include the meaning(s) given to such term in such employment or severance agreement.</w:t>
      </w:r>
    </w:p>
    <w:p>
      <w:pPr>
        <w:spacing w:after="0" w:line="153" w:lineRule="exact"/>
        <w:rPr>
          <w:sz w:val="20"/>
          <w:szCs w:val="20"/>
          <w:color w:val="auto"/>
        </w:rPr>
      </w:pPr>
    </w:p>
    <w:p>
      <w:pPr>
        <w:ind w:left="6" w:right="780" w:firstLine="648"/>
        <w:spacing w:after="0"/>
        <w:rPr>
          <w:sz w:val="20"/>
          <w:szCs w:val="20"/>
          <w:color w:val="auto"/>
        </w:rPr>
      </w:pPr>
      <w:r>
        <w:rPr>
          <w:rFonts w:ascii="Times New Roman" w:cs="Times New Roman" w:eastAsia="Times New Roman" w:hAnsi="Times New Roman"/>
          <w:sz w:val="22"/>
          <w:szCs w:val="22"/>
          <w:color w:val="auto"/>
        </w:rPr>
        <w:t xml:space="preserve">2.26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Non-Employee Director</w:t>
      </w:r>
      <w:r>
        <w:rPr>
          <w:rFonts w:ascii="Times New Roman" w:cs="Times New Roman" w:eastAsia="Times New Roman" w:hAnsi="Times New Roman"/>
          <w:sz w:val="19"/>
          <w:szCs w:val="19"/>
          <w:color w:val="auto"/>
        </w:rPr>
        <w:t>” shall mean a Director of the Company who is not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Employee.</w:t>
      </w:r>
    </w:p>
    <w:p>
      <w:pPr>
        <w:spacing w:after="0" w:line="371" w:lineRule="exact"/>
        <w:rPr>
          <w:sz w:val="20"/>
          <w:szCs w:val="20"/>
          <w:color w:val="auto"/>
        </w:rPr>
      </w:pPr>
    </w:p>
    <w:p>
      <w:pPr>
        <w:ind w:left="646"/>
        <w:spacing w:after="0"/>
        <w:tabs>
          <w:tab w:leader="none" w:pos="1406" w:val="left"/>
          <w:tab w:leader="none" w:pos="6006" w:val="left"/>
        </w:tabs>
        <w:rPr>
          <w:sz w:val="20"/>
          <w:szCs w:val="20"/>
          <w:color w:val="auto"/>
        </w:rPr>
      </w:pPr>
      <w:r>
        <w:rPr>
          <w:rFonts w:ascii="Times New Roman" w:cs="Times New Roman" w:eastAsia="Times New Roman" w:hAnsi="Times New Roman"/>
          <w:sz w:val="22"/>
          <w:szCs w:val="22"/>
          <w:color w:val="auto"/>
        </w:rPr>
        <w:t>2.27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Non-Employee Director Compensation Policy</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have the meaning set forth in</w:t>
      </w:r>
    </w:p>
    <w:p>
      <w:pPr>
        <w:ind w:left="6"/>
        <w:spacing w:after="0"/>
        <w:rPr>
          <w:sz w:val="20"/>
          <w:szCs w:val="20"/>
          <w:color w:val="auto"/>
        </w:rPr>
      </w:pPr>
      <w:r>
        <w:rPr>
          <w:rFonts w:ascii="Times New Roman" w:cs="Times New Roman" w:eastAsia="Times New Roman" w:hAnsi="Times New Roman"/>
          <w:sz w:val="20"/>
          <w:szCs w:val="20"/>
          <w:color w:val="auto"/>
        </w:rPr>
        <w:t>Section 4.6.</w:t>
      </w:r>
    </w:p>
    <w:p>
      <w:pPr>
        <w:spacing w:after="0" w:line="38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5871845" cy="508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6"/>
          </w:cols>
          <w:pgMar w:left="1354" w:top="441" w:right="1379" w:bottom="1440" w:gutter="0" w:footer="0" w:header="0"/>
        </w:sectPr>
      </w:pPr>
    </w:p>
    <w:bookmarkStart w:id="13" w:name="page14"/>
    <w:bookmarkEnd w:id="13"/>
    <w:tbl>
      <w:tblPr>
        <w:tblLayout w:type="fixed"/>
        <w:tblInd w:w="6" w:type="dxa"/>
        <w:tblCellMar>
          <w:top w:w="0" w:type="dxa"/>
          <w:left w:w="0" w:type="dxa"/>
          <w:bottom w:w="0" w:type="dxa"/>
          <w:right w:w="0" w:type="dxa"/>
        </w:tblCellMar>
      </w:tblPr>
      <w:tr>
        <w:trPr>
          <w:trHeight w:val="253"/>
        </w:trPr>
        <w:tc>
          <w:tcPr>
            <w:tcW w:w="1220" w:type="dxa"/>
            <w:vAlign w:val="bottom"/>
          </w:tcPr>
          <w:p>
            <w:pPr>
              <w:jc w:val="right"/>
              <w:ind w:right="95"/>
              <w:spacing w:after="0"/>
              <w:rPr>
                <w:sz w:val="20"/>
                <w:szCs w:val="20"/>
                <w:color w:val="auto"/>
              </w:rPr>
            </w:pPr>
            <w:r>
              <w:rPr>
                <w:rFonts w:ascii="Times New Roman" w:cs="Times New Roman" w:eastAsia="Times New Roman" w:hAnsi="Times New Roman"/>
                <w:sz w:val="22"/>
                <w:szCs w:val="22"/>
                <w:color w:val="auto"/>
              </w:rPr>
              <w:t>2.28</w:t>
            </w:r>
          </w:p>
        </w:tc>
        <w:tc>
          <w:tcPr>
            <w:tcW w:w="302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Non-Qualified Stock Option</w:t>
            </w:r>
            <w:r>
              <w:rPr>
                <w:rFonts w:ascii="Times New Roman" w:cs="Times New Roman" w:eastAsia="Times New Roman" w:hAnsi="Times New Roman"/>
                <w:sz w:val="20"/>
                <w:szCs w:val="20"/>
                <w:color w:val="auto"/>
              </w:rPr>
              <w:t>”</w:t>
            </w:r>
          </w:p>
        </w:tc>
        <w:tc>
          <w:tcPr>
            <w:tcW w:w="4380" w:type="dxa"/>
            <w:vAlign w:val="bottom"/>
          </w:tcPr>
          <w:p>
            <w:pPr>
              <w:ind w:left="360"/>
              <w:spacing w:after="0"/>
              <w:rPr>
                <w:sz w:val="20"/>
                <w:szCs w:val="20"/>
                <w:color w:val="auto"/>
              </w:rPr>
            </w:pPr>
            <w:r>
              <w:rPr>
                <w:rFonts w:ascii="Times New Roman" w:cs="Times New Roman" w:eastAsia="Times New Roman" w:hAnsi="Times New Roman"/>
                <w:sz w:val="20"/>
                <w:szCs w:val="20"/>
                <w:color w:val="auto"/>
                <w:w w:val="97"/>
              </w:rPr>
              <w:t>shall mean an Option that is not an Incentive Stock</w:t>
            </w:r>
          </w:p>
        </w:tc>
      </w:tr>
      <w:tr>
        <w:trPr>
          <w:trHeight w:val="258"/>
        </w:trPr>
        <w:tc>
          <w:tcPr>
            <w:tcW w:w="1220" w:type="dxa"/>
            <w:vAlign w:val="bottom"/>
          </w:tcPr>
          <w:p>
            <w:pPr>
              <w:jc w:val="right"/>
              <w:ind w:right="515"/>
              <w:spacing w:after="0"/>
              <w:rPr>
                <w:sz w:val="20"/>
                <w:szCs w:val="20"/>
                <w:color w:val="auto"/>
              </w:rPr>
            </w:pPr>
            <w:r>
              <w:rPr>
                <w:rFonts w:ascii="Times New Roman" w:cs="Times New Roman" w:eastAsia="Times New Roman" w:hAnsi="Times New Roman"/>
                <w:sz w:val="20"/>
                <w:szCs w:val="20"/>
                <w:color w:val="auto"/>
                <w:w w:val="95"/>
              </w:rPr>
              <w:t>Option.</w:t>
            </w:r>
          </w:p>
        </w:tc>
        <w:tc>
          <w:tcPr>
            <w:tcW w:w="128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380" w:type="dxa"/>
            <w:vAlign w:val="bottom"/>
          </w:tcPr>
          <w:p>
            <w:pPr>
              <w:spacing w:after="0"/>
              <w:rPr>
                <w:sz w:val="22"/>
                <w:szCs w:val="22"/>
                <w:color w:val="auto"/>
              </w:rPr>
            </w:pPr>
          </w:p>
        </w:tc>
      </w:tr>
      <w:tr>
        <w:trPr>
          <w:trHeight w:val="398"/>
        </w:trPr>
        <w:tc>
          <w:tcPr>
            <w:tcW w:w="1220" w:type="dxa"/>
            <w:vAlign w:val="bottom"/>
          </w:tcPr>
          <w:p>
            <w:pPr>
              <w:jc w:val="right"/>
              <w:ind w:right="95"/>
              <w:spacing w:after="0"/>
              <w:rPr>
                <w:sz w:val="20"/>
                <w:szCs w:val="20"/>
                <w:color w:val="auto"/>
              </w:rPr>
            </w:pPr>
            <w:r>
              <w:rPr>
                <w:rFonts w:ascii="Times New Roman" w:cs="Times New Roman" w:eastAsia="Times New Roman" w:hAnsi="Times New Roman"/>
                <w:sz w:val="22"/>
                <w:szCs w:val="22"/>
                <w:color w:val="auto"/>
              </w:rPr>
              <w:t>2.29</w:t>
            </w:r>
          </w:p>
        </w:tc>
        <w:tc>
          <w:tcPr>
            <w:tcW w:w="12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w:t>
            </w:r>
            <w:r>
              <w:rPr>
                <w:rFonts w:ascii="Times New Roman" w:cs="Times New Roman" w:eastAsia="Times New Roman" w:hAnsi="Times New Roman"/>
                <w:sz w:val="20"/>
                <w:szCs w:val="20"/>
                <w:color w:val="auto"/>
              </w:rPr>
              <w:t>”</w:t>
            </w:r>
          </w:p>
        </w:tc>
        <w:tc>
          <w:tcPr>
            <w:tcW w:w="6120" w:type="dxa"/>
            <w:vAlign w:val="bottom"/>
            <w:gridSpan w:val="2"/>
          </w:tcPr>
          <w:p>
            <w:pPr>
              <w:ind w:left="360"/>
              <w:spacing w:after="0"/>
              <w:rPr>
                <w:sz w:val="20"/>
                <w:szCs w:val="20"/>
                <w:color w:val="auto"/>
              </w:rPr>
            </w:pPr>
            <w:r>
              <w:rPr>
                <w:rFonts w:ascii="Times New Roman" w:cs="Times New Roman" w:eastAsia="Times New Roman" w:hAnsi="Times New Roman"/>
                <w:sz w:val="20"/>
                <w:szCs w:val="20"/>
                <w:color w:val="auto"/>
                <w:w w:val="99"/>
              </w:rPr>
              <w:t>shall mean a right to purchase Shares at a specified exercise price that is</w:t>
            </w:r>
          </w:p>
        </w:tc>
      </w:tr>
    </w:tbl>
    <w:p>
      <w:pPr>
        <w:ind w:left="6" w:right="60"/>
        <w:spacing w:after="0" w:line="223" w:lineRule="auto"/>
        <w:rPr>
          <w:sz w:val="20"/>
          <w:szCs w:val="20"/>
          <w:color w:val="auto"/>
        </w:rPr>
      </w:pPr>
      <w:r>
        <w:rPr>
          <w:rFonts w:ascii="Times New Roman" w:cs="Times New Roman" w:eastAsia="Times New Roman" w:hAnsi="Times New Roman"/>
          <w:sz w:val="20"/>
          <w:szCs w:val="20"/>
          <w:color w:val="auto"/>
        </w:rPr>
        <w:t xml:space="preserve">granted under Article 5. An Option shall be either a Non-Qualified Stock Option or an Incentive Stock Option;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Options granted to Non-Employee Directors and Consultants shall only be Non-Qualified Stock Options.</w:t>
      </w:r>
    </w:p>
    <w:p>
      <w:pPr>
        <w:spacing w:after="0" w:line="142" w:lineRule="exact"/>
        <w:rPr>
          <w:sz w:val="20"/>
          <w:szCs w:val="20"/>
          <w:color w:val="auto"/>
        </w:rPr>
      </w:pPr>
    </w:p>
    <w:tbl>
      <w:tblPr>
        <w:tblLayout w:type="fixed"/>
        <w:tblInd w:w="646" w:type="dxa"/>
        <w:tblCellMar>
          <w:top w:w="0" w:type="dxa"/>
          <w:left w:w="0" w:type="dxa"/>
          <w:bottom w:w="0" w:type="dxa"/>
          <w:right w:w="0" w:type="dxa"/>
        </w:tblCellMar>
      </w:tblPr>
      <w:tr>
        <w:trPr>
          <w:trHeight w:val="282"/>
        </w:trPr>
        <w:tc>
          <w:tcPr>
            <w:tcW w:w="5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3"/>
              </w:rPr>
              <w:t>2.30</w:t>
            </w:r>
          </w:p>
        </w:tc>
        <w:tc>
          <w:tcPr>
            <w:tcW w:w="20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Option Term</w:t>
            </w:r>
            <w:r>
              <w:rPr>
                <w:rFonts w:ascii="Times New Roman" w:cs="Times New Roman" w:eastAsia="Times New Roman" w:hAnsi="Times New Roman"/>
                <w:sz w:val="20"/>
                <w:szCs w:val="20"/>
                <w:color w:val="auto"/>
              </w:rPr>
              <w:t>”</w:t>
            </w:r>
          </w:p>
        </w:tc>
        <w:tc>
          <w:tcPr>
            <w:tcW w:w="576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shall have the meaning set forth in Section 5.6.</w:t>
            </w:r>
          </w:p>
        </w:tc>
      </w:tr>
      <w:tr>
        <w:trPr>
          <w:trHeight w:val="392"/>
        </w:trPr>
        <w:tc>
          <w:tcPr>
            <w:tcW w:w="5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w w:val="93"/>
              </w:rPr>
              <w:t>2.31</w:t>
            </w:r>
          </w:p>
        </w:tc>
        <w:tc>
          <w:tcPr>
            <w:tcW w:w="2060" w:type="dxa"/>
            <w:vAlign w:val="bottom"/>
          </w:tcPr>
          <w:p>
            <w:pPr>
              <w:ind w:left="20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Performance Award</w:t>
            </w:r>
            <w:r>
              <w:rPr>
                <w:rFonts w:ascii="Times New Roman" w:cs="Times New Roman" w:eastAsia="Times New Roman" w:hAnsi="Times New Roman"/>
                <w:sz w:val="20"/>
                <w:szCs w:val="20"/>
                <w:color w:val="auto"/>
                <w:w w:val="99"/>
              </w:rPr>
              <w:t>”</w:t>
            </w:r>
          </w:p>
        </w:tc>
        <w:tc>
          <w:tcPr>
            <w:tcW w:w="5760" w:type="dxa"/>
            <w:vAlign w:val="bottom"/>
          </w:tcPr>
          <w:p>
            <w:pPr>
              <w:ind w:left="660"/>
              <w:spacing w:after="0"/>
              <w:rPr>
                <w:sz w:val="20"/>
                <w:szCs w:val="20"/>
                <w:color w:val="auto"/>
              </w:rPr>
            </w:pPr>
            <w:r>
              <w:rPr>
                <w:rFonts w:ascii="Times New Roman" w:cs="Times New Roman" w:eastAsia="Times New Roman" w:hAnsi="Times New Roman"/>
                <w:sz w:val="20"/>
                <w:szCs w:val="20"/>
                <w:color w:val="auto"/>
                <w:w w:val="98"/>
              </w:rPr>
              <w:t>shall mean a cash bonus award, stock bonus award, performance</w:t>
            </w:r>
          </w:p>
        </w:tc>
      </w:tr>
    </w:tbl>
    <w:p>
      <w:pPr>
        <w:ind w:left="6"/>
        <w:spacing w:after="0"/>
        <w:rPr>
          <w:sz w:val="20"/>
          <w:szCs w:val="20"/>
          <w:color w:val="auto"/>
        </w:rPr>
      </w:pPr>
      <w:r>
        <w:rPr>
          <w:rFonts w:ascii="Times New Roman" w:cs="Times New Roman" w:eastAsia="Times New Roman" w:hAnsi="Times New Roman"/>
          <w:sz w:val="20"/>
          <w:szCs w:val="20"/>
          <w:color w:val="auto"/>
        </w:rPr>
        <w:t>award or incentive award that is paid in cash, Shares or a combination of both, awarded under Section 8.1.</w:t>
      </w:r>
    </w:p>
    <w:p>
      <w:pPr>
        <w:spacing w:after="0" w:line="200" w:lineRule="exact"/>
        <w:rPr>
          <w:sz w:val="20"/>
          <w:szCs w:val="20"/>
          <w:color w:val="auto"/>
        </w:rPr>
      </w:pPr>
    </w:p>
    <w:p>
      <w:pPr>
        <w:spacing w:after="0" w:line="303" w:lineRule="exact"/>
        <w:rPr>
          <w:sz w:val="20"/>
          <w:szCs w:val="20"/>
          <w:color w:val="auto"/>
        </w:rPr>
      </w:pPr>
    </w:p>
    <w:p>
      <w:pPr>
        <w:ind w:left="646"/>
        <w:spacing w:after="0"/>
        <w:tabs>
          <w:tab w:leader="none" w:pos="1406" w:val="left"/>
          <w:tab w:leader="none" w:pos="4026" w:val="left"/>
        </w:tabs>
        <w:rPr>
          <w:sz w:val="20"/>
          <w:szCs w:val="20"/>
          <w:color w:val="auto"/>
        </w:rPr>
      </w:pPr>
      <w:r>
        <w:rPr>
          <w:rFonts w:ascii="Times New Roman" w:cs="Times New Roman" w:eastAsia="Times New Roman" w:hAnsi="Times New Roman"/>
          <w:sz w:val="22"/>
          <w:szCs w:val="22"/>
          <w:color w:val="auto"/>
        </w:rPr>
        <w:t>2.32</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Criteria</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mean the criteria (and adjustments) that the Administrator</w:t>
      </w:r>
    </w:p>
    <w:p>
      <w:pPr>
        <w:ind w:left="6"/>
        <w:spacing w:after="0" w:line="221" w:lineRule="auto"/>
        <w:rPr>
          <w:sz w:val="20"/>
          <w:szCs w:val="20"/>
          <w:color w:val="auto"/>
        </w:rPr>
      </w:pPr>
      <w:r>
        <w:rPr>
          <w:rFonts w:ascii="Times New Roman" w:cs="Times New Roman" w:eastAsia="Times New Roman" w:hAnsi="Times New Roman"/>
          <w:sz w:val="20"/>
          <w:szCs w:val="20"/>
          <w:color w:val="auto"/>
        </w:rPr>
        <w:t>selects for an Award to measure the level of performance during a performance period, as applicable, determined as follows:</w:t>
      </w:r>
    </w:p>
    <w:p>
      <w:pPr>
        <w:spacing w:after="0" w:line="162" w:lineRule="exact"/>
        <w:rPr>
          <w:sz w:val="20"/>
          <w:szCs w:val="20"/>
          <w:color w:val="auto"/>
        </w:rPr>
      </w:pPr>
    </w:p>
    <w:p>
      <w:pPr>
        <w:ind w:left="6" w:firstLine="1290"/>
        <w:spacing w:after="0" w:line="227" w:lineRule="auto"/>
        <w:tabs>
          <w:tab w:leader="none" w:pos="2003" w:val="left"/>
        </w:tabs>
        <w:numPr>
          <w:ilvl w:val="1"/>
          <w:numId w:val="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Performance Criteria may include, but is not limited to, the following: (i) net earnings (either before or after one or more of the following: (A) interest, (B) taxes, (C) depreciation and (D) amortization);</w:t>
      </w:r>
    </w:p>
    <w:p>
      <w:pPr>
        <w:ind w:left="286" w:hanging="286"/>
        <w:spacing w:after="0" w:line="211" w:lineRule="auto"/>
        <w:tabs>
          <w:tab w:leader="none" w:pos="286"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gross or net sales or revenue; (iii) net income (either before or after taxes); (iv) adjusted net income;</w:t>
      </w:r>
    </w:p>
    <w:p>
      <w:pPr>
        <w:jc w:val="both"/>
        <w:ind w:left="6" w:right="120" w:hanging="6"/>
        <w:spacing w:after="0" w:line="217" w:lineRule="auto"/>
        <w:tabs>
          <w:tab w:leader="none" w:pos="286"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operating earnings (including but not limited to EBITDA or adjusted EBITDA); (vi) cash flow (including, but not limited to, operating cash flow and free cash flow); (vii) return on assets; (viii) return on capital; (ix) return on stockholders’ equity; (x) total stockholder return; (xi) return on sales; (xii) gross or net profit or operating margin;</w:t>
      </w:r>
    </w:p>
    <w:p>
      <w:pPr>
        <w:spacing w:after="0" w:line="1" w:lineRule="exact"/>
        <w:rPr>
          <w:rFonts w:ascii="Times New Roman" w:cs="Times New Roman" w:eastAsia="Times New Roman" w:hAnsi="Times New Roman"/>
          <w:sz w:val="19"/>
          <w:szCs w:val="19"/>
          <w:color w:val="auto"/>
        </w:rPr>
      </w:pPr>
    </w:p>
    <w:p>
      <w:pPr>
        <w:ind w:left="446" w:hanging="446"/>
        <w:spacing w:after="0" w:line="197" w:lineRule="auto"/>
        <w:tabs>
          <w:tab w:leader="none" w:pos="446"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operating or other costs and expenses; (xiv) funds from operations; (xv) improvements in expense levels;</w:t>
      </w:r>
    </w:p>
    <w:p>
      <w:pPr>
        <w:ind w:left="6" w:right="100" w:hanging="6"/>
        <w:spacing w:after="0" w:line="219" w:lineRule="auto"/>
        <w:tabs>
          <w:tab w:leader="none" w:pos="440" w:val="left"/>
        </w:tabs>
        <w:numPr>
          <w:ilvl w:val="0"/>
          <w:numId w:val="1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working capital; (xvii) earnings per share; (xviii) adjusted earnings per share; (xix) price per share of Common Stock; (xx) regulatory body approval for commercialization of a product; (xxi) implementation or completion of critical projects; (xxii) market share; (xxiii) economic value; (xxiv) comparisons with various stock market indices; (xxv) capital raised in financing transactions or other financing milestones; (xxvi) stockholders’ equity; (xxvi) market recognition (including but not limited to awards and analyst ratings); (xxvii) financial ratios;</w:t>
      </w:r>
    </w:p>
    <w:p>
      <w:pPr>
        <w:spacing w:after="0" w:line="2" w:lineRule="exact"/>
        <w:rPr>
          <w:rFonts w:ascii="Times New Roman" w:cs="Times New Roman" w:eastAsia="Times New Roman" w:hAnsi="Times New Roman"/>
          <w:sz w:val="19"/>
          <w:szCs w:val="19"/>
          <w:color w:val="auto"/>
        </w:rPr>
      </w:pPr>
    </w:p>
    <w:p>
      <w:pPr>
        <w:ind w:left="6" w:hanging="6"/>
        <w:spacing w:after="0" w:line="223" w:lineRule="auto"/>
        <w:tabs>
          <w:tab w:leader="none" w:pos="649" w:val="left"/>
        </w:tabs>
        <w:numPr>
          <w:ilvl w:val="0"/>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implementation, completion or attainment of objectively determinable objectives relating to research, development, regulatory, commercial, or strategic milestones or developments; and (xxix) other similar criteria as determined by the Administrator; in each case as determined in accordance with Applicable Accounting Standards, if applicable, any of which may be measured either in absolute terms or as compared to any incremental increase or decrease or as compared to results of a peer group or to market performance indicators or indices.</w:t>
      </w:r>
    </w:p>
    <w:p>
      <w:pPr>
        <w:spacing w:after="0" w:line="164" w:lineRule="exact"/>
        <w:rPr>
          <w:rFonts w:ascii="Times New Roman" w:cs="Times New Roman" w:eastAsia="Times New Roman" w:hAnsi="Times New Roman"/>
          <w:sz w:val="19"/>
          <w:szCs w:val="19"/>
          <w:color w:val="auto"/>
        </w:rPr>
      </w:pPr>
    </w:p>
    <w:p>
      <w:pPr>
        <w:jc w:val="both"/>
        <w:ind w:left="6" w:right="180" w:firstLine="1290"/>
        <w:spacing w:after="0" w:line="225" w:lineRule="auto"/>
        <w:tabs>
          <w:tab w:leader="none" w:pos="2014" w:val="left"/>
        </w:tabs>
        <w:numPr>
          <w:ilvl w:val="1"/>
          <w:numId w:val="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Administrator may, in its sole discretion, provide that one or more objectively determinable adjustments shall be made to one or more of the Performance Criteria. Such adjustments may include, but are not limited to, one or more of the following: (i) items related to a change in accounting principle;</w:t>
      </w:r>
    </w:p>
    <w:p>
      <w:pPr>
        <w:spacing w:after="0" w:line="1" w:lineRule="exact"/>
        <w:rPr>
          <w:rFonts w:ascii="Times New Roman" w:cs="Times New Roman" w:eastAsia="Times New Roman" w:hAnsi="Times New Roman"/>
          <w:sz w:val="19"/>
          <w:szCs w:val="19"/>
          <w:color w:val="auto"/>
        </w:rPr>
      </w:pPr>
    </w:p>
    <w:p>
      <w:pPr>
        <w:ind w:left="6" w:right="80" w:hanging="6"/>
        <w:spacing w:after="0" w:line="210" w:lineRule="auto"/>
        <w:tabs>
          <w:tab w:leader="none" w:pos="297" w:val="left"/>
        </w:tabs>
        <w:numPr>
          <w:ilvl w:val="0"/>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items relating to financing activities; (iii) expenses for restructuring or productivity initiatives; (iv) other non-operating items; (v) items related to acquisitions; (vi) items attributable to the business operations of any entity acquired by the Company during the Performance Period; (vii) items related to the disposal of a business or segment of a business; (viii) items related to discontinued operations that do not qualify as a segment of a business under Applicable Accounting Standards; (ix) items attributable to any stock dividend, stock split, combination or exchange of stock occurring during the Performance Period; (x) any other items of significant income or expense which are determined to be appropriate adjustments; (xi) items relating to unusual or extraordinary corporate transactions, events or developments, (xii) items related to amortization of acquired intangible assets; (xiii) items that are outside the scope of the Company’s core, on-going business activities; (xiv) items related to acquired in-process research and development; (xv) items relating to changes in tax laws;</w:t>
      </w:r>
    </w:p>
    <w:p>
      <w:pPr>
        <w:spacing w:after="0" w:line="153" w:lineRule="exact"/>
        <w:rPr>
          <w:sz w:val="20"/>
          <w:szCs w:val="20"/>
          <w:color w:val="auto"/>
        </w:rPr>
      </w:pPr>
    </w:p>
    <w:p>
      <w:pPr>
        <w:ind w:left="5186"/>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370205</wp:posOffset>
            </wp:positionV>
            <wp:extent cx="5871845"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46"/>
          </w:cols>
          <w:pgMar w:left="1354" w:top="404" w:right="1399" w:bottom="1440" w:gutter="0" w:footer="0" w:header="0"/>
        </w:sectPr>
      </w:pPr>
    </w:p>
    <w:bookmarkStart w:id="14" w:name="page15"/>
    <w:bookmarkEnd w:id="14"/>
    <w:p>
      <w:pPr>
        <w:ind w:left="6" w:right="260" w:hanging="6"/>
        <w:spacing w:after="0" w:line="222" w:lineRule="auto"/>
        <w:tabs>
          <w:tab w:leader="none" w:pos="4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items relating to major licensing or partnership arrangements; (xvii) items relating to asset impairment charges; (xviii) items relating to gains or losses for litigation, arbitration and contractual settlements; (xix) items relating to any other unusual or nonrecurring events or changes in applicable laws, accounting principles or business conditions; or (xx) any such other items as determined by the Administrator.</w:t>
      </w:r>
    </w:p>
    <w:p>
      <w:pPr>
        <w:spacing w:after="0" w:line="157" w:lineRule="exact"/>
        <w:rPr>
          <w:sz w:val="20"/>
          <w:szCs w:val="20"/>
          <w:color w:val="auto"/>
        </w:rPr>
      </w:pPr>
    </w:p>
    <w:p>
      <w:pPr>
        <w:jc w:val="both"/>
        <w:ind w:left="6" w:firstLine="648"/>
        <w:spacing w:after="0" w:line="237" w:lineRule="auto"/>
        <w:rPr>
          <w:sz w:val="20"/>
          <w:szCs w:val="20"/>
          <w:color w:val="auto"/>
        </w:rPr>
      </w:pPr>
      <w:r>
        <w:rPr>
          <w:rFonts w:ascii="Times New Roman" w:cs="Times New Roman" w:eastAsia="Times New Roman" w:hAnsi="Times New Roman"/>
          <w:sz w:val="22"/>
          <w:szCs w:val="22"/>
          <w:color w:val="auto"/>
        </w:rPr>
        <w:t xml:space="preserve">2.33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Performance Period</w:t>
      </w:r>
      <w:r>
        <w:rPr>
          <w:rFonts w:ascii="Times New Roman" w:cs="Times New Roman" w:eastAsia="Times New Roman" w:hAnsi="Times New Roman"/>
          <w:sz w:val="19"/>
          <w:szCs w:val="19"/>
          <w:color w:val="auto"/>
        </w:rPr>
        <w:t>” shall mean one or more periods of time, which may be of varying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and overlapping durations, as the Administrator may select, over which the attainment of one or more Performance Criteria will be measured for the purpose of determining a Holder’s right to, and the payment of, an Award.</w:t>
      </w:r>
    </w:p>
    <w:p>
      <w:pPr>
        <w:spacing w:after="0" w:line="110" w:lineRule="exact"/>
        <w:rPr>
          <w:sz w:val="20"/>
          <w:szCs w:val="20"/>
          <w:color w:val="auto"/>
        </w:rPr>
      </w:pPr>
    </w:p>
    <w:tbl>
      <w:tblPr>
        <w:tblLayout w:type="fixed"/>
        <w:tblInd w:w="6" w:type="dxa"/>
        <w:tblCellMar>
          <w:top w:w="0" w:type="dxa"/>
          <w:left w:w="0" w:type="dxa"/>
          <w:bottom w:w="0" w:type="dxa"/>
          <w:right w:w="0" w:type="dxa"/>
        </w:tblCellMar>
      </w:tblPr>
      <w:tr>
        <w:trPr>
          <w:trHeight w:val="253"/>
        </w:trPr>
        <w:tc>
          <w:tcPr>
            <w:tcW w:w="1220" w:type="dxa"/>
            <w:vAlign w:val="bottom"/>
          </w:tcPr>
          <w:p>
            <w:pPr>
              <w:jc w:val="right"/>
              <w:ind w:right="95"/>
              <w:spacing w:after="0"/>
              <w:rPr>
                <w:sz w:val="20"/>
                <w:szCs w:val="20"/>
                <w:color w:val="auto"/>
              </w:rPr>
            </w:pPr>
            <w:r>
              <w:rPr>
                <w:rFonts w:ascii="Times New Roman" w:cs="Times New Roman" w:eastAsia="Times New Roman" w:hAnsi="Times New Roman"/>
                <w:sz w:val="22"/>
                <w:szCs w:val="22"/>
                <w:color w:val="auto"/>
              </w:rPr>
              <w:t>2.34</w:t>
            </w:r>
          </w:p>
        </w:tc>
        <w:tc>
          <w:tcPr>
            <w:tcW w:w="2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Stock Unit</w:t>
            </w:r>
            <w:r>
              <w:rPr>
                <w:rFonts w:ascii="Times New Roman" w:cs="Times New Roman" w:eastAsia="Times New Roman" w:hAnsi="Times New Roman"/>
                <w:sz w:val="20"/>
                <w:szCs w:val="20"/>
                <w:color w:val="auto"/>
              </w:rPr>
              <w:t>”</w:t>
            </w:r>
          </w:p>
        </w:tc>
        <w:tc>
          <w:tcPr>
            <w:tcW w:w="5240" w:type="dxa"/>
            <w:vAlign w:val="bottom"/>
          </w:tcPr>
          <w:p>
            <w:pPr>
              <w:ind w:left="480"/>
              <w:spacing w:after="0"/>
              <w:rPr>
                <w:sz w:val="20"/>
                <w:szCs w:val="20"/>
                <w:color w:val="auto"/>
              </w:rPr>
            </w:pPr>
            <w:r>
              <w:rPr>
                <w:rFonts w:ascii="Times New Roman" w:cs="Times New Roman" w:eastAsia="Times New Roman" w:hAnsi="Times New Roman"/>
                <w:sz w:val="20"/>
                <w:szCs w:val="20"/>
                <w:color w:val="auto"/>
                <w:w w:val="97"/>
              </w:rPr>
              <w:t>shall mean a Performance Award awarded under Section 8.1</w:t>
            </w:r>
          </w:p>
        </w:tc>
      </w:tr>
      <w:tr>
        <w:trPr>
          <w:trHeight w:val="258"/>
        </w:trPr>
        <w:tc>
          <w:tcPr>
            <w:tcW w:w="90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which is denominated in units of value including dollar value of shares of Common Stock.</w:t>
            </w:r>
          </w:p>
        </w:tc>
      </w:tr>
      <w:tr>
        <w:trPr>
          <w:trHeight w:val="398"/>
        </w:trPr>
        <w:tc>
          <w:tcPr>
            <w:tcW w:w="1220" w:type="dxa"/>
            <w:vAlign w:val="bottom"/>
          </w:tcPr>
          <w:p>
            <w:pPr>
              <w:jc w:val="right"/>
              <w:ind w:right="95"/>
              <w:spacing w:after="0"/>
              <w:rPr>
                <w:sz w:val="20"/>
                <w:szCs w:val="20"/>
                <w:color w:val="auto"/>
              </w:rPr>
            </w:pPr>
            <w:r>
              <w:rPr>
                <w:rFonts w:ascii="Times New Roman" w:cs="Times New Roman" w:eastAsia="Times New Roman" w:hAnsi="Times New Roman"/>
                <w:sz w:val="22"/>
                <w:szCs w:val="22"/>
                <w:color w:val="auto"/>
              </w:rPr>
              <w:t>2.35</w:t>
            </w:r>
          </w:p>
        </w:tc>
        <w:tc>
          <w:tcPr>
            <w:tcW w:w="258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Transferee</w:t>
            </w:r>
            <w:r>
              <w:rPr>
                <w:rFonts w:ascii="Times New Roman" w:cs="Times New Roman" w:eastAsia="Times New Roman" w:hAnsi="Times New Roman"/>
                <w:sz w:val="20"/>
                <w:szCs w:val="20"/>
                <w:color w:val="auto"/>
              </w:rPr>
              <w:t>”</w:t>
            </w:r>
          </w:p>
        </w:tc>
        <w:tc>
          <w:tcPr>
            <w:tcW w:w="5240" w:type="dxa"/>
            <w:vAlign w:val="bottom"/>
          </w:tcPr>
          <w:p>
            <w:pPr>
              <w:ind w:left="220"/>
              <w:spacing w:after="0"/>
              <w:rPr>
                <w:sz w:val="20"/>
                <w:szCs w:val="20"/>
                <w:color w:val="auto"/>
              </w:rPr>
            </w:pPr>
            <w:r>
              <w:rPr>
                <w:rFonts w:ascii="Times New Roman" w:cs="Times New Roman" w:eastAsia="Times New Roman" w:hAnsi="Times New Roman"/>
                <w:sz w:val="20"/>
                <w:szCs w:val="20"/>
                <w:color w:val="auto"/>
              </w:rPr>
              <w:t>shall mean, with respect to a Holder, any “family member” of</w:t>
            </w:r>
          </w:p>
        </w:tc>
      </w:tr>
    </w:tbl>
    <w:p>
      <w:pPr>
        <w:ind w:left="6" w:right="140"/>
        <w:spacing w:after="0" w:line="242" w:lineRule="auto"/>
        <w:rPr>
          <w:sz w:val="20"/>
          <w:szCs w:val="20"/>
          <w:color w:val="auto"/>
        </w:rPr>
      </w:pPr>
      <w:r>
        <w:rPr>
          <w:rFonts w:ascii="Times New Roman" w:cs="Times New Roman" w:eastAsia="Times New Roman" w:hAnsi="Times New Roman"/>
          <w:sz w:val="19"/>
          <w:szCs w:val="19"/>
          <w:color w:val="auto"/>
        </w:rPr>
        <w:t>the Holder, as defined under the instructions to use the Form S-8 Registration Statement under the Securities Act, or any other transferee specifically approved by the Administrator after taking into account Applicable Law.</w:t>
      </w:r>
    </w:p>
    <w:p>
      <w:pPr>
        <w:spacing w:after="0" w:line="140" w:lineRule="exact"/>
        <w:rPr>
          <w:sz w:val="20"/>
          <w:szCs w:val="20"/>
          <w:color w:val="auto"/>
        </w:rPr>
      </w:pPr>
    </w:p>
    <w:tbl>
      <w:tblPr>
        <w:tblLayout w:type="fixed"/>
        <w:tblInd w:w="6" w:type="dxa"/>
        <w:tblCellMar>
          <w:top w:w="0" w:type="dxa"/>
          <w:left w:w="0" w:type="dxa"/>
          <w:bottom w:w="0" w:type="dxa"/>
          <w:right w:w="0" w:type="dxa"/>
        </w:tblCellMar>
      </w:tblPr>
      <w:tr>
        <w:trPr>
          <w:trHeight w:val="282"/>
        </w:trPr>
        <w:tc>
          <w:tcPr>
            <w:tcW w:w="1300" w:type="dxa"/>
            <w:vAlign w:val="bottom"/>
          </w:tcPr>
          <w:p>
            <w:pPr>
              <w:jc w:val="right"/>
              <w:ind w:right="175"/>
              <w:spacing w:after="0"/>
              <w:rPr>
                <w:sz w:val="20"/>
                <w:szCs w:val="20"/>
                <w:color w:val="auto"/>
              </w:rPr>
            </w:pPr>
            <w:r>
              <w:rPr>
                <w:rFonts w:ascii="Times New Roman" w:cs="Times New Roman" w:eastAsia="Times New Roman" w:hAnsi="Times New Roman"/>
                <w:sz w:val="22"/>
                <w:szCs w:val="22"/>
                <w:color w:val="auto"/>
              </w:rPr>
              <w:t>2.36</w:t>
            </w:r>
          </w:p>
        </w:tc>
        <w:tc>
          <w:tcPr>
            <w:tcW w:w="1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w:t>
            </w:r>
          </w:p>
        </w:tc>
        <w:tc>
          <w:tcPr>
            <w:tcW w:w="6520" w:type="dxa"/>
            <w:vAlign w:val="bottom"/>
            <w:gridSpan w:val="3"/>
          </w:tcPr>
          <w:p>
            <w:pPr>
              <w:jc w:val="right"/>
              <w:ind w:right="2781"/>
              <w:spacing w:after="0"/>
              <w:rPr>
                <w:sz w:val="20"/>
                <w:szCs w:val="20"/>
                <w:color w:val="auto"/>
              </w:rPr>
            </w:pPr>
            <w:r>
              <w:rPr>
                <w:rFonts w:ascii="Times New Roman" w:cs="Times New Roman" w:eastAsia="Times New Roman" w:hAnsi="Times New Roman"/>
                <w:sz w:val="20"/>
                <w:szCs w:val="20"/>
                <w:color w:val="auto"/>
              </w:rPr>
              <w:t>shall have the meaning set forth in Article 1.</w:t>
            </w:r>
          </w:p>
        </w:tc>
      </w:tr>
      <w:tr>
        <w:trPr>
          <w:trHeight w:val="370"/>
        </w:trPr>
        <w:tc>
          <w:tcPr>
            <w:tcW w:w="1300" w:type="dxa"/>
            <w:vAlign w:val="bottom"/>
          </w:tcPr>
          <w:p>
            <w:pPr>
              <w:jc w:val="right"/>
              <w:ind w:right="175"/>
              <w:spacing w:after="0"/>
              <w:rPr>
                <w:sz w:val="20"/>
                <w:szCs w:val="20"/>
                <w:color w:val="auto"/>
              </w:rPr>
            </w:pPr>
            <w:r>
              <w:rPr>
                <w:rFonts w:ascii="Times New Roman" w:cs="Times New Roman" w:eastAsia="Times New Roman" w:hAnsi="Times New Roman"/>
                <w:sz w:val="22"/>
                <w:szCs w:val="22"/>
                <w:color w:val="auto"/>
              </w:rPr>
              <w:t>2.37</w:t>
            </w:r>
          </w:p>
        </w:tc>
        <w:tc>
          <w:tcPr>
            <w:tcW w:w="1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w:t>
            </w:r>
            <w:r>
              <w:rPr>
                <w:rFonts w:ascii="Times New Roman" w:cs="Times New Roman" w:eastAsia="Times New Roman" w:hAnsi="Times New Roman"/>
                <w:sz w:val="20"/>
                <w:szCs w:val="20"/>
                <w:color w:val="auto"/>
              </w:rPr>
              <w:t>”</w:t>
            </w:r>
          </w:p>
        </w:tc>
        <w:tc>
          <w:tcPr>
            <w:tcW w:w="65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shall mean the Globus Medical, Inc. 2012 Equity Incentive Plan, , as such</w:t>
            </w:r>
          </w:p>
        </w:tc>
      </w:tr>
      <w:tr>
        <w:trPr>
          <w:trHeight w:val="258"/>
        </w:trPr>
        <w:tc>
          <w:tcPr>
            <w:tcW w:w="90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plan was or may be amended from time to time.</w:t>
            </w:r>
          </w:p>
        </w:tc>
      </w:tr>
      <w:tr>
        <w:trPr>
          <w:trHeight w:val="376"/>
        </w:trPr>
        <w:tc>
          <w:tcPr>
            <w:tcW w:w="1300" w:type="dxa"/>
            <w:vAlign w:val="bottom"/>
          </w:tcPr>
          <w:p>
            <w:pPr>
              <w:jc w:val="right"/>
              <w:ind w:right="175"/>
              <w:spacing w:after="0"/>
              <w:rPr>
                <w:sz w:val="20"/>
                <w:szCs w:val="20"/>
                <w:color w:val="auto"/>
              </w:rPr>
            </w:pPr>
            <w:r>
              <w:rPr>
                <w:rFonts w:ascii="Times New Roman" w:cs="Times New Roman" w:eastAsia="Times New Roman" w:hAnsi="Times New Roman"/>
                <w:sz w:val="22"/>
                <w:szCs w:val="22"/>
                <w:color w:val="auto"/>
              </w:rPr>
              <w:t>2.38</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Prior Plan Award</w:t>
            </w:r>
            <w:r>
              <w:rPr>
                <w:rFonts w:ascii="Times New Roman" w:cs="Times New Roman" w:eastAsia="Times New Roman" w:hAnsi="Times New Roman"/>
                <w:sz w:val="20"/>
                <w:szCs w:val="20"/>
                <w:color w:val="auto"/>
              </w:rPr>
              <w:t>”</w:t>
            </w:r>
          </w:p>
        </w:tc>
        <w:tc>
          <w:tcPr>
            <w:tcW w:w="300" w:type="dxa"/>
            <w:vAlign w:val="bottom"/>
          </w:tcPr>
          <w:p>
            <w:pPr>
              <w:spacing w:after="0"/>
              <w:rPr>
                <w:sz w:val="24"/>
                <w:szCs w:val="24"/>
                <w:color w:val="auto"/>
              </w:rPr>
            </w:pPr>
          </w:p>
        </w:tc>
        <w:tc>
          <w:tcPr>
            <w:tcW w:w="538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w w:val="99"/>
              </w:rPr>
              <w:t>shall mean an award outstanding under the Prior Plan as of the</w:t>
            </w: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Effective Date.</w:t>
            </w: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380" w:type="dxa"/>
            <w:vAlign w:val="bottom"/>
          </w:tcPr>
          <w:p>
            <w:pPr>
              <w:spacing w:after="0"/>
              <w:rPr>
                <w:sz w:val="22"/>
                <w:szCs w:val="22"/>
                <w:color w:val="auto"/>
              </w:rPr>
            </w:pPr>
          </w:p>
        </w:tc>
      </w:tr>
      <w:tr>
        <w:trPr>
          <w:trHeight w:val="376"/>
        </w:trPr>
        <w:tc>
          <w:tcPr>
            <w:tcW w:w="1300" w:type="dxa"/>
            <w:vAlign w:val="bottom"/>
          </w:tcPr>
          <w:p>
            <w:pPr>
              <w:jc w:val="right"/>
              <w:ind w:right="175"/>
              <w:spacing w:after="0"/>
              <w:rPr>
                <w:sz w:val="20"/>
                <w:szCs w:val="20"/>
                <w:color w:val="auto"/>
              </w:rPr>
            </w:pPr>
            <w:r>
              <w:rPr>
                <w:rFonts w:ascii="Times New Roman" w:cs="Times New Roman" w:eastAsia="Times New Roman" w:hAnsi="Times New Roman"/>
                <w:sz w:val="22"/>
                <w:szCs w:val="22"/>
                <w:color w:val="auto"/>
              </w:rPr>
              <w:t>2.39</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Stock</w:t>
            </w:r>
            <w:r>
              <w:rPr>
                <w:rFonts w:ascii="Times New Roman" w:cs="Times New Roman" w:eastAsia="Times New Roman" w:hAnsi="Times New Roman"/>
                <w:sz w:val="20"/>
                <w:szCs w:val="20"/>
                <w:color w:val="auto"/>
              </w:rPr>
              <w:t>”</w:t>
            </w:r>
          </w:p>
        </w:tc>
        <w:tc>
          <w:tcPr>
            <w:tcW w:w="56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shall mean Shares awarded under Article 6 that are subject to certain</w:t>
            </w:r>
          </w:p>
        </w:tc>
      </w:tr>
      <w:tr>
        <w:trPr>
          <w:trHeight w:val="258"/>
        </w:trPr>
        <w:tc>
          <w:tcPr>
            <w:tcW w:w="908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restrictions and may be subject to risk of forfeiture or repurchase.</w:t>
            </w:r>
          </w:p>
        </w:tc>
      </w:tr>
      <w:tr>
        <w:trPr>
          <w:trHeight w:val="438"/>
        </w:trPr>
        <w:tc>
          <w:tcPr>
            <w:tcW w:w="1300" w:type="dxa"/>
            <w:vAlign w:val="bottom"/>
          </w:tcPr>
          <w:p>
            <w:pPr>
              <w:jc w:val="right"/>
              <w:ind w:right="175"/>
              <w:spacing w:after="0"/>
              <w:rPr>
                <w:sz w:val="20"/>
                <w:szCs w:val="20"/>
                <w:color w:val="auto"/>
              </w:rPr>
            </w:pPr>
            <w:r>
              <w:rPr>
                <w:rFonts w:ascii="Times New Roman" w:cs="Times New Roman" w:eastAsia="Times New Roman" w:hAnsi="Times New Roman"/>
                <w:sz w:val="22"/>
                <w:szCs w:val="22"/>
                <w:color w:val="auto"/>
              </w:rPr>
              <w:t>2.40</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7"/>
              </w:rPr>
              <w:t>“</w:t>
            </w:r>
            <w:r>
              <w:rPr>
                <w:rFonts w:ascii="Times New Roman" w:cs="Times New Roman" w:eastAsia="Times New Roman" w:hAnsi="Times New Roman"/>
                <w:sz w:val="20"/>
                <w:szCs w:val="20"/>
                <w:b w:val="1"/>
                <w:bCs w:val="1"/>
                <w:i w:val="1"/>
                <w:iCs w:val="1"/>
                <w:color w:val="auto"/>
                <w:w w:val="97"/>
              </w:rPr>
              <w:t>Restricted Stock Units</w:t>
            </w:r>
            <w:r>
              <w:rPr>
                <w:rFonts w:ascii="Times New Roman" w:cs="Times New Roman" w:eastAsia="Times New Roman" w:hAnsi="Times New Roman"/>
                <w:sz w:val="20"/>
                <w:szCs w:val="20"/>
                <w:color w:val="auto"/>
                <w:w w:val="97"/>
              </w:rPr>
              <w:t>”</w:t>
            </w:r>
          </w:p>
        </w:tc>
        <w:tc>
          <w:tcPr>
            <w:tcW w:w="300" w:type="dxa"/>
            <w:vAlign w:val="bottom"/>
          </w:tcPr>
          <w:p>
            <w:pPr>
              <w:spacing w:after="0"/>
              <w:rPr>
                <w:sz w:val="24"/>
                <w:szCs w:val="24"/>
                <w:color w:val="auto"/>
              </w:rPr>
            </w:pPr>
          </w:p>
        </w:tc>
        <w:tc>
          <w:tcPr>
            <w:tcW w:w="5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shall mean the right to receive Shares awarded under Article 7.</w:t>
            </w:r>
          </w:p>
        </w:tc>
      </w:tr>
      <w:tr>
        <w:trPr>
          <w:trHeight w:val="432"/>
        </w:trPr>
        <w:tc>
          <w:tcPr>
            <w:tcW w:w="1300" w:type="dxa"/>
            <w:vAlign w:val="bottom"/>
          </w:tcPr>
          <w:p>
            <w:pPr>
              <w:jc w:val="right"/>
              <w:ind w:right="175"/>
              <w:spacing w:after="0"/>
              <w:rPr>
                <w:sz w:val="20"/>
                <w:szCs w:val="20"/>
                <w:color w:val="auto"/>
              </w:rPr>
            </w:pPr>
            <w:r>
              <w:rPr>
                <w:rFonts w:ascii="Times New Roman" w:cs="Times New Roman" w:eastAsia="Times New Roman" w:hAnsi="Times New Roman"/>
                <w:sz w:val="22"/>
                <w:szCs w:val="22"/>
                <w:color w:val="auto"/>
              </w:rPr>
              <w:t>2.41</w:t>
            </w:r>
          </w:p>
        </w:tc>
        <w:tc>
          <w:tcPr>
            <w:tcW w:w="21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w:t>
            </w:r>
          </w:p>
        </w:tc>
        <w:tc>
          <w:tcPr>
            <w:tcW w:w="5680" w:type="dxa"/>
            <w:vAlign w:val="bottom"/>
            <w:gridSpan w:val="2"/>
          </w:tcPr>
          <w:p>
            <w:pPr>
              <w:jc w:val="right"/>
              <w:ind w:right="1521"/>
              <w:spacing w:after="0"/>
              <w:rPr>
                <w:sz w:val="20"/>
                <w:szCs w:val="20"/>
                <w:color w:val="auto"/>
              </w:rPr>
            </w:pPr>
            <w:r>
              <w:rPr>
                <w:rFonts w:ascii="Times New Roman" w:cs="Times New Roman" w:eastAsia="Times New Roman" w:hAnsi="Times New Roman"/>
                <w:sz w:val="20"/>
                <w:szCs w:val="20"/>
                <w:color w:val="auto"/>
                <w:w w:val="98"/>
              </w:rPr>
              <w:t>shall mean the Securities Act of 1933, as amended.</w:t>
            </w:r>
          </w:p>
        </w:tc>
      </w:tr>
      <w:tr>
        <w:trPr>
          <w:trHeight w:val="432"/>
        </w:trPr>
        <w:tc>
          <w:tcPr>
            <w:tcW w:w="1300" w:type="dxa"/>
            <w:vAlign w:val="bottom"/>
          </w:tcPr>
          <w:p>
            <w:pPr>
              <w:jc w:val="right"/>
              <w:ind w:right="175"/>
              <w:spacing w:after="0"/>
              <w:rPr>
                <w:sz w:val="20"/>
                <w:szCs w:val="20"/>
                <w:color w:val="auto"/>
              </w:rPr>
            </w:pPr>
            <w:r>
              <w:rPr>
                <w:rFonts w:ascii="Times New Roman" w:cs="Times New Roman" w:eastAsia="Times New Roman" w:hAnsi="Times New Roman"/>
                <w:sz w:val="22"/>
                <w:szCs w:val="22"/>
                <w:color w:val="auto"/>
              </w:rPr>
              <w:t>2.42</w:t>
            </w:r>
          </w:p>
        </w:tc>
        <w:tc>
          <w:tcPr>
            <w:tcW w:w="126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Shares</w:t>
            </w:r>
            <w:r>
              <w:rPr>
                <w:rFonts w:ascii="Times New Roman" w:cs="Times New Roman" w:eastAsia="Times New Roman" w:hAnsi="Times New Roman"/>
                <w:sz w:val="20"/>
                <w:szCs w:val="20"/>
                <w:color w:val="auto"/>
              </w:rPr>
              <w:t>”</w:t>
            </w:r>
          </w:p>
        </w:tc>
        <w:tc>
          <w:tcPr>
            <w:tcW w:w="6520" w:type="dxa"/>
            <w:vAlign w:val="bottom"/>
            <w:gridSpan w:val="3"/>
          </w:tcPr>
          <w:p>
            <w:pPr>
              <w:jc w:val="right"/>
              <w:ind w:right="3181"/>
              <w:spacing w:after="0"/>
              <w:rPr>
                <w:sz w:val="20"/>
                <w:szCs w:val="20"/>
                <w:color w:val="auto"/>
              </w:rPr>
            </w:pPr>
            <w:r>
              <w:rPr>
                <w:rFonts w:ascii="Times New Roman" w:cs="Times New Roman" w:eastAsia="Times New Roman" w:hAnsi="Times New Roman"/>
                <w:sz w:val="20"/>
                <w:szCs w:val="20"/>
                <w:color w:val="auto"/>
              </w:rPr>
              <w:t>shall mean shares of Common Stock.</w:t>
            </w:r>
          </w:p>
        </w:tc>
      </w:tr>
      <w:tr>
        <w:trPr>
          <w:trHeight w:val="370"/>
        </w:trPr>
        <w:tc>
          <w:tcPr>
            <w:tcW w:w="1300" w:type="dxa"/>
            <w:vAlign w:val="bottom"/>
          </w:tcPr>
          <w:p>
            <w:pPr>
              <w:jc w:val="right"/>
              <w:ind w:right="175"/>
              <w:spacing w:after="0"/>
              <w:rPr>
                <w:sz w:val="20"/>
                <w:szCs w:val="20"/>
                <w:color w:val="auto"/>
              </w:rPr>
            </w:pPr>
            <w:r>
              <w:rPr>
                <w:rFonts w:ascii="Times New Roman" w:cs="Times New Roman" w:eastAsia="Times New Roman" w:hAnsi="Times New Roman"/>
                <w:sz w:val="22"/>
                <w:szCs w:val="22"/>
                <w:color w:val="auto"/>
              </w:rPr>
              <w:t>2.43</w:t>
            </w:r>
          </w:p>
        </w:tc>
        <w:tc>
          <w:tcPr>
            <w:tcW w:w="240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Stock Appreciation Right</w:t>
            </w:r>
            <w:r>
              <w:rPr>
                <w:rFonts w:ascii="Times New Roman" w:cs="Times New Roman" w:eastAsia="Times New Roman" w:hAnsi="Times New Roman"/>
                <w:sz w:val="20"/>
                <w:szCs w:val="20"/>
                <w:color w:val="auto"/>
              </w:rPr>
              <w:t>”</w:t>
            </w:r>
          </w:p>
        </w:tc>
        <w:tc>
          <w:tcPr>
            <w:tcW w:w="53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shall mean a stock appreciation right granted under Article</w:t>
            </w:r>
          </w:p>
        </w:tc>
      </w:tr>
      <w:tr>
        <w:trPr>
          <w:trHeight w:val="258"/>
        </w:trPr>
        <w:tc>
          <w:tcPr>
            <w:tcW w:w="1300" w:type="dxa"/>
            <w:vAlign w:val="bottom"/>
          </w:tcPr>
          <w:p>
            <w:pPr>
              <w:spacing w:after="0"/>
              <w:rPr>
                <w:sz w:val="20"/>
                <w:szCs w:val="20"/>
                <w:color w:val="auto"/>
              </w:rPr>
            </w:pPr>
            <w:r>
              <w:rPr>
                <w:rFonts w:ascii="Times New Roman" w:cs="Times New Roman" w:eastAsia="Times New Roman" w:hAnsi="Times New Roman"/>
                <w:sz w:val="20"/>
                <w:szCs w:val="20"/>
                <w:color w:val="auto"/>
              </w:rPr>
              <w:t>9.</w:t>
            </w:r>
          </w:p>
        </w:tc>
        <w:tc>
          <w:tcPr>
            <w:tcW w:w="1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380" w:type="dxa"/>
            <w:vAlign w:val="bottom"/>
          </w:tcPr>
          <w:p>
            <w:pPr>
              <w:spacing w:after="0"/>
              <w:rPr>
                <w:sz w:val="22"/>
                <w:szCs w:val="22"/>
                <w:color w:val="auto"/>
              </w:rPr>
            </w:pPr>
          </w:p>
        </w:tc>
      </w:tr>
    </w:tbl>
    <w:p>
      <w:pPr>
        <w:spacing w:after="0" w:line="156" w:lineRule="exact"/>
        <w:rPr>
          <w:sz w:val="20"/>
          <w:szCs w:val="20"/>
          <w:color w:val="auto"/>
        </w:rPr>
      </w:pPr>
    </w:p>
    <w:p>
      <w:pPr>
        <w:sectPr>
          <w:pgSz w:w="11900" w:h="16838" w:orient="portrait"/>
          <w:cols w:equalWidth="0" w:num="1">
            <w:col w:w="9126"/>
          </w:cols>
          <w:pgMar w:left="1354" w:top="441" w:right="1419" w:bottom="1440" w:gutter="0" w:footer="0" w:header="0"/>
        </w:sectPr>
      </w:pPr>
    </w:p>
    <w:p>
      <w:pPr>
        <w:jc w:val="center"/>
        <w:ind w:left="646"/>
        <w:spacing w:after="0"/>
        <w:tabs>
          <w:tab w:leader="none" w:pos="380" w:val="left"/>
        </w:tabs>
        <w:rPr>
          <w:sz w:val="20"/>
          <w:szCs w:val="20"/>
          <w:color w:val="auto"/>
        </w:rPr>
      </w:pPr>
      <w:r>
        <w:rPr>
          <w:rFonts w:ascii="Times New Roman" w:cs="Times New Roman" w:eastAsia="Times New Roman" w:hAnsi="Times New Roman"/>
          <w:sz w:val="22"/>
          <w:szCs w:val="22"/>
          <w:color w:val="auto"/>
        </w:rPr>
        <w:t>2.44</w:t>
      </w:r>
      <w:r>
        <w:rPr>
          <w:sz w:val="20"/>
          <w:szCs w:val="20"/>
          <w:color w:val="auto"/>
        </w:rPr>
        <w:tab/>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Appreciation Right Term</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shall have the meaning set forth in Section 9.4.</w:t>
      </w:r>
    </w:p>
    <w:p>
      <w:pPr>
        <w:spacing w:after="0" w:line="195" w:lineRule="exact"/>
        <w:rPr>
          <w:sz w:val="20"/>
          <w:szCs w:val="20"/>
          <w:color w:val="auto"/>
        </w:rPr>
      </w:pPr>
    </w:p>
    <w:p>
      <w:pPr>
        <w:sectPr>
          <w:pgSz w:w="11900" w:h="16838" w:orient="portrait"/>
          <w:cols w:equalWidth="0" w:num="2">
            <w:col w:w="4126" w:space="700"/>
            <w:col w:w="4300"/>
          </w:cols>
          <w:pgMar w:left="1354" w:top="441" w:right="1419" w:bottom="1440" w:gutter="0" w:footer="0" w:header="0"/>
          <w:type w:val="continuous"/>
        </w:sectPr>
      </w:pPr>
    </w:p>
    <w:p>
      <w:pPr>
        <w:jc w:val="both"/>
        <w:ind w:left="6" w:right="360" w:firstLine="648"/>
        <w:spacing w:after="0"/>
        <w:rPr>
          <w:sz w:val="20"/>
          <w:szCs w:val="20"/>
          <w:color w:val="auto"/>
        </w:rPr>
      </w:pPr>
      <w:r>
        <w:rPr>
          <w:rFonts w:ascii="Times New Roman" w:cs="Times New Roman" w:eastAsia="Times New Roman" w:hAnsi="Times New Roman"/>
          <w:sz w:val="22"/>
          <w:szCs w:val="22"/>
          <w:color w:val="auto"/>
        </w:rPr>
        <w:t xml:space="preserve">2.45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Stock Payment</w:t>
      </w:r>
      <w:r>
        <w:rPr>
          <w:rFonts w:ascii="Times New Roman" w:cs="Times New Roman" w:eastAsia="Times New Roman" w:hAnsi="Times New Roman"/>
          <w:sz w:val="19"/>
          <w:szCs w:val="19"/>
          <w:color w:val="auto"/>
        </w:rPr>
        <w:t>” shall mean (a) a payment in the form of Shares, or (b) an option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other right to purchase Shares, as part of a bonus, deferred compensation or other arrangement, awarded under Section 8.2.</w:t>
      </w:r>
    </w:p>
    <w:p>
      <w:pPr>
        <w:spacing w:after="0" w:line="352" w:lineRule="exact"/>
        <w:rPr>
          <w:sz w:val="20"/>
          <w:szCs w:val="20"/>
          <w:color w:val="auto"/>
        </w:rPr>
      </w:pPr>
    </w:p>
    <w:p>
      <w:pPr>
        <w:jc w:val="both"/>
        <w:ind w:left="6" w:right="440" w:firstLine="648"/>
        <w:spacing w:after="0" w:line="237" w:lineRule="auto"/>
        <w:rPr>
          <w:sz w:val="20"/>
          <w:szCs w:val="20"/>
          <w:color w:val="auto"/>
        </w:rPr>
      </w:pPr>
      <w:r>
        <w:rPr>
          <w:rFonts w:ascii="Times New Roman" w:cs="Times New Roman" w:eastAsia="Times New Roman" w:hAnsi="Times New Roman"/>
          <w:sz w:val="22"/>
          <w:szCs w:val="22"/>
          <w:color w:val="auto"/>
        </w:rPr>
        <w:t xml:space="preserve">2.46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Subsidiary</w:t>
      </w:r>
      <w:r>
        <w:rPr>
          <w:rFonts w:ascii="Times New Roman" w:cs="Times New Roman" w:eastAsia="Times New Roman" w:hAnsi="Times New Roman"/>
          <w:sz w:val="19"/>
          <w:szCs w:val="19"/>
          <w:color w:val="auto"/>
        </w:rPr>
        <w:t>” shall mean any entity (other than the Company), whether domestic or</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foreign, in an unbroken chain of entities beginning with the Company if each of the entities other than the last entity in the unbroken chain beneficially owns, at the time of the determination, securities or</w:t>
      </w:r>
    </w:p>
    <w:p>
      <w:pPr>
        <w:spacing w:after="0" w:line="160" w:lineRule="exact"/>
        <w:rPr>
          <w:sz w:val="20"/>
          <w:szCs w:val="20"/>
          <w:color w:val="auto"/>
        </w:rPr>
      </w:pPr>
    </w:p>
    <w:p>
      <w:pPr>
        <w:ind w:left="4806"/>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361315</wp:posOffset>
            </wp:positionV>
            <wp:extent cx="5871845" cy="508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26"/>
          </w:cols>
          <w:pgMar w:left="1354" w:top="441" w:right="1419" w:bottom="1440" w:gutter="0" w:footer="0" w:header="0"/>
          <w:type w:val="continuous"/>
        </w:sectPr>
      </w:pPr>
    </w:p>
    <w:bookmarkStart w:id="15" w:name="page16"/>
    <w:bookmarkEnd w:id="15"/>
    <w:p>
      <w:pPr>
        <w:ind w:right="140"/>
        <w:spacing w:after="0"/>
        <w:rPr>
          <w:sz w:val="20"/>
          <w:szCs w:val="20"/>
          <w:color w:val="auto"/>
        </w:rPr>
      </w:pPr>
      <w:r>
        <w:rPr>
          <w:rFonts w:ascii="Times New Roman" w:cs="Times New Roman" w:eastAsia="Times New Roman" w:hAnsi="Times New Roman"/>
          <w:sz w:val="20"/>
          <w:szCs w:val="20"/>
          <w:color w:val="auto"/>
        </w:rPr>
        <w:t>interests representing at least 50% of the total combined voting power of all classes of securities or interests in one of the other entities in such chain.</w:t>
      </w:r>
    </w:p>
    <w:p>
      <w:pPr>
        <w:spacing w:after="0" w:line="143" w:lineRule="exact"/>
        <w:rPr>
          <w:sz w:val="20"/>
          <w:szCs w:val="20"/>
          <w:color w:val="auto"/>
        </w:rPr>
      </w:pPr>
    </w:p>
    <w:p>
      <w:pPr>
        <w:jc w:val="both"/>
        <w:ind w:left="240" w:right="20" w:firstLine="648"/>
        <w:spacing w:after="0" w:line="225" w:lineRule="auto"/>
        <w:rPr>
          <w:sz w:val="20"/>
          <w:szCs w:val="20"/>
          <w:color w:val="auto"/>
        </w:rPr>
      </w:pPr>
      <w:r>
        <w:rPr>
          <w:rFonts w:ascii="Times New Roman" w:cs="Times New Roman" w:eastAsia="Times New Roman" w:hAnsi="Times New Roman"/>
          <w:sz w:val="22"/>
          <w:szCs w:val="22"/>
          <w:color w:val="auto"/>
        </w:rPr>
        <w:t xml:space="preserve">2.47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Substitute Award</w:t>
      </w:r>
      <w:r>
        <w:rPr>
          <w:rFonts w:ascii="Times New Roman" w:cs="Times New Roman" w:eastAsia="Times New Roman" w:hAnsi="Times New Roman"/>
          <w:sz w:val="19"/>
          <w:szCs w:val="19"/>
          <w:color w:val="auto"/>
        </w:rPr>
        <w:t>” shall mean an Award granted under the Plan upon the assumption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 xml:space="preserve">or in substitution for, outstanding equity awards previously granted by a company or other entity in connection with a corporate transaction, such as a merger, combination, consolidation or acquisition of property or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w:t>
      </w:r>
    </w:p>
    <w:p>
      <w:pPr>
        <w:spacing w:after="0" w:line="1" w:lineRule="exact"/>
        <w:rPr>
          <w:sz w:val="20"/>
          <w:szCs w:val="20"/>
          <w:color w:val="auto"/>
        </w:rPr>
      </w:pPr>
    </w:p>
    <w:p>
      <w:pPr>
        <w:ind w:left="240" w:right="160" w:firstLine="49"/>
        <w:spacing w:after="0" w:line="221" w:lineRule="auto"/>
        <w:rPr>
          <w:sz w:val="20"/>
          <w:szCs w:val="20"/>
          <w:color w:val="auto"/>
        </w:rPr>
      </w:pP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 event shall the term “Substitute Award” be construed to refer to an award made in connection with the cancellation and repricing of an Option or Stock Appreciation Right.</w:t>
      </w:r>
    </w:p>
    <w:p>
      <w:pPr>
        <w:spacing w:after="0" w:line="157" w:lineRule="exact"/>
        <w:rPr>
          <w:sz w:val="20"/>
          <w:szCs w:val="20"/>
          <w:color w:val="auto"/>
        </w:rPr>
      </w:pPr>
    </w:p>
    <w:p>
      <w:pPr>
        <w:ind w:left="880"/>
        <w:spacing w:after="0"/>
        <w:tabs>
          <w:tab w:leader="none" w:pos="1640" w:val="left"/>
          <w:tab w:leader="none" w:pos="4380" w:val="left"/>
        </w:tabs>
        <w:rPr>
          <w:sz w:val="20"/>
          <w:szCs w:val="20"/>
          <w:color w:val="auto"/>
        </w:rPr>
      </w:pPr>
      <w:r>
        <w:rPr>
          <w:rFonts w:ascii="Times New Roman" w:cs="Times New Roman" w:eastAsia="Times New Roman" w:hAnsi="Times New Roman"/>
          <w:sz w:val="22"/>
          <w:szCs w:val="22"/>
          <w:color w:val="auto"/>
        </w:rPr>
        <w:t>2.48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Termination of Service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shall mean:</w:t>
      </w:r>
    </w:p>
    <w:p>
      <w:pPr>
        <w:spacing w:after="0" w:line="184" w:lineRule="exact"/>
        <w:rPr>
          <w:sz w:val="20"/>
          <w:szCs w:val="20"/>
          <w:color w:val="auto"/>
        </w:rPr>
      </w:pPr>
    </w:p>
    <w:p>
      <w:pPr>
        <w:ind w:left="240" w:right="280" w:firstLine="1290"/>
        <w:spacing w:after="0" w:line="220" w:lineRule="auto"/>
        <w:tabs>
          <w:tab w:leader="none" w:pos="2237"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 to a Consultant, the time when the engagement of a Holder as a Consultant to the Company or any Subsidiary is terminated for any reason, with or without Misconduct, including, without limitation, by resignation, discharge, death, retirement or expiration of the consulting relationship, but excluding terminations where the Consultant simultaneously commences or remains in employment or service with the Company or any Subsidiary.</w:t>
      </w:r>
    </w:p>
    <w:p>
      <w:pPr>
        <w:spacing w:after="0" w:line="147" w:lineRule="exact"/>
        <w:rPr>
          <w:rFonts w:ascii="Times New Roman" w:cs="Times New Roman" w:eastAsia="Times New Roman" w:hAnsi="Times New Roman"/>
          <w:sz w:val="20"/>
          <w:szCs w:val="20"/>
          <w:color w:val="auto"/>
        </w:rPr>
      </w:pPr>
    </w:p>
    <w:p>
      <w:pPr>
        <w:ind w:left="240" w:right="20" w:firstLine="1290"/>
        <w:spacing w:after="0" w:line="234" w:lineRule="auto"/>
        <w:tabs>
          <w:tab w:leader="none" w:pos="2248"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 Non-Employee Director, the time when a Holder who is a Non-Employee Director ceases to be a Director for any reason, with or without Misconduct, including, without limitation, a termination by resignation, failure to be elected or reelected, removal, death or retirement, but excluding terminations where the Holder simultaneously commences or remains in employment or service with the Company or any Subsidiary.</w:t>
      </w:r>
    </w:p>
    <w:p>
      <w:pPr>
        <w:spacing w:after="0" w:line="160" w:lineRule="exact"/>
        <w:rPr>
          <w:rFonts w:ascii="Times New Roman" w:cs="Times New Roman" w:eastAsia="Times New Roman" w:hAnsi="Times New Roman"/>
          <w:sz w:val="19"/>
          <w:szCs w:val="19"/>
          <w:color w:val="auto"/>
        </w:rPr>
      </w:pPr>
    </w:p>
    <w:p>
      <w:pPr>
        <w:ind w:left="240" w:right="40" w:firstLine="1290"/>
        <w:spacing w:after="0" w:line="234" w:lineRule="auto"/>
        <w:tabs>
          <w:tab w:leader="none" w:pos="2237"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As to an Employee, the time when the employee-employer relationship between a Holder and the Company or any Subsidiary is terminated for any reason, with or without Misconduct, including, without limitation, a termination by resignation, discharge, death, disability or retirement; but excluding terminations where the Holder simultaneously commences or remains in employment or service with the Company or any Subsidiary.</w:t>
      </w:r>
    </w:p>
    <w:p>
      <w:pPr>
        <w:spacing w:after="0" w:line="160" w:lineRule="exact"/>
        <w:rPr>
          <w:sz w:val="20"/>
          <w:szCs w:val="20"/>
          <w:color w:val="auto"/>
        </w:rPr>
      </w:pPr>
    </w:p>
    <w:p>
      <w:pPr>
        <w:ind w:left="240" w:right="60" w:firstLine="648"/>
        <w:spacing w:after="0" w:line="234" w:lineRule="auto"/>
        <w:rPr>
          <w:sz w:val="20"/>
          <w:szCs w:val="20"/>
          <w:color w:val="auto"/>
        </w:rPr>
      </w:pPr>
      <w:r>
        <w:rPr>
          <w:rFonts w:ascii="Times New Roman" w:cs="Times New Roman" w:eastAsia="Times New Roman" w:hAnsi="Times New Roman"/>
          <w:sz w:val="19"/>
          <w:szCs w:val="19"/>
          <w:color w:val="auto"/>
        </w:rPr>
        <w:t>The Administrator, in its sole discretion but subject to Section 12.11 (if applicable), shall determine the effect of all matters and questions relating to Terminations of Service, including, without limitation, the question of</w:t>
      </w:r>
    </w:p>
    <w:p>
      <w:pPr>
        <w:spacing w:after="0" w:line="1" w:lineRule="exact"/>
        <w:rPr>
          <w:sz w:val="20"/>
          <w:szCs w:val="20"/>
          <w:color w:val="auto"/>
        </w:rPr>
      </w:pPr>
    </w:p>
    <w:p>
      <w:pPr>
        <w:ind w:left="240" w:right="140"/>
        <w:spacing w:after="0" w:line="215" w:lineRule="auto"/>
        <w:rPr>
          <w:sz w:val="20"/>
          <w:szCs w:val="20"/>
          <w:color w:val="auto"/>
        </w:rPr>
      </w:pPr>
      <w:r>
        <w:rPr>
          <w:rFonts w:ascii="Times New Roman" w:cs="Times New Roman" w:eastAsia="Times New Roman" w:hAnsi="Times New Roman"/>
          <w:sz w:val="19"/>
          <w:szCs w:val="19"/>
          <w:color w:val="auto"/>
        </w:rPr>
        <w:t xml:space="preserve">whether a Termination of Service resulted from a discharge for Misconduct and all questions of whether particular leaves of absence constitute a Termination of Service;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with respect to Incentive Stock</w:t>
      </w:r>
    </w:p>
    <w:p>
      <w:pPr>
        <w:ind w:left="240"/>
        <w:spacing w:after="0" w:line="222" w:lineRule="auto"/>
        <w:rPr>
          <w:sz w:val="20"/>
          <w:szCs w:val="20"/>
          <w:color w:val="auto"/>
        </w:rPr>
      </w:pPr>
      <w:r>
        <w:rPr>
          <w:rFonts w:ascii="Times New Roman" w:cs="Times New Roman" w:eastAsia="Times New Roman" w:hAnsi="Times New Roman"/>
          <w:sz w:val="19"/>
          <w:szCs w:val="19"/>
          <w:color w:val="auto"/>
        </w:rPr>
        <w:t>Options, unless the Administrator otherwise provides in the terms of the Award Agreement or otherwise, a leave of</w:t>
      </w:r>
    </w:p>
    <w:p>
      <w:pPr>
        <w:ind w:left="240"/>
        <w:spacing w:after="0" w:line="215" w:lineRule="auto"/>
        <w:rPr>
          <w:sz w:val="20"/>
          <w:szCs w:val="20"/>
          <w:color w:val="auto"/>
        </w:rPr>
      </w:pPr>
      <w:r>
        <w:rPr>
          <w:rFonts w:ascii="Times New Roman" w:cs="Times New Roman" w:eastAsia="Times New Roman" w:hAnsi="Times New Roman"/>
          <w:sz w:val="19"/>
          <w:szCs w:val="19"/>
          <w:color w:val="auto"/>
        </w:rPr>
        <w:t>absence, change in status from an employee to an independent contractor or other change in the employee-employer relationship shall constitute a Termination of Service only if, and to the extent that, such leave of absence,</w:t>
      </w:r>
    </w:p>
    <w:p>
      <w:pPr>
        <w:ind w:left="240"/>
        <w:spacing w:after="0" w:line="211" w:lineRule="auto"/>
        <w:rPr>
          <w:sz w:val="20"/>
          <w:szCs w:val="20"/>
          <w:color w:val="auto"/>
        </w:rPr>
      </w:pPr>
      <w:r>
        <w:rPr>
          <w:rFonts w:ascii="Times New Roman" w:cs="Times New Roman" w:eastAsia="Times New Roman" w:hAnsi="Times New Roman"/>
          <w:sz w:val="20"/>
          <w:szCs w:val="20"/>
          <w:color w:val="auto"/>
        </w:rPr>
        <w:t>change in status or other change interrupts employment for the purposes of Section 422(a)(2) of the Code and the</w:t>
      </w:r>
    </w:p>
    <w:p>
      <w:pPr>
        <w:ind w:left="240" w:right="40"/>
        <w:spacing w:after="0" w:line="215" w:lineRule="auto"/>
        <w:rPr>
          <w:sz w:val="20"/>
          <w:szCs w:val="20"/>
          <w:color w:val="auto"/>
        </w:rPr>
      </w:pPr>
      <w:r>
        <w:rPr>
          <w:rFonts w:ascii="Times New Roman" w:cs="Times New Roman" w:eastAsia="Times New Roman" w:hAnsi="Times New Roman"/>
          <w:sz w:val="19"/>
          <w:szCs w:val="19"/>
          <w:color w:val="auto"/>
        </w:rPr>
        <w:t>then applicable regulations and revenue rulings under said Section. For purposes of the Plan, a Holder’s employee-employer relationship or consultancy relationship shall be deemed to be terminated in the event that the Subsidiary</w:t>
      </w:r>
    </w:p>
    <w:p>
      <w:pPr>
        <w:ind w:left="240" w:right="320"/>
        <w:spacing w:after="0" w:line="228" w:lineRule="auto"/>
        <w:rPr>
          <w:sz w:val="20"/>
          <w:szCs w:val="20"/>
          <w:color w:val="auto"/>
        </w:rPr>
      </w:pPr>
      <w:r>
        <w:rPr>
          <w:rFonts w:ascii="Times New Roman" w:cs="Times New Roman" w:eastAsia="Times New Roman" w:hAnsi="Times New Roman"/>
          <w:sz w:val="20"/>
          <w:szCs w:val="20"/>
          <w:color w:val="auto"/>
        </w:rPr>
        <w:t>employing or contracting with such Holder ceases to remain a Subsidiary following any merger, sale of stock or other corporate transaction or event (including, without limitation, a spin-off).</w:t>
      </w:r>
    </w:p>
    <w:p>
      <w:pPr>
        <w:spacing w:after="0" w:line="14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ARTICLE 3.</w:t>
      </w:r>
    </w:p>
    <w:p>
      <w:pPr>
        <w:spacing w:after="0" w:line="17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0"/>
          <w:szCs w:val="20"/>
          <w:color w:val="auto"/>
        </w:rPr>
        <w:t>SHARES SUBJECT TO THE PLAN</w:t>
      </w:r>
    </w:p>
    <w:p>
      <w:pPr>
        <w:spacing w:after="0" w:line="170" w:lineRule="exact"/>
        <w:rPr>
          <w:sz w:val="20"/>
          <w:szCs w:val="20"/>
          <w:color w:val="auto"/>
        </w:rPr>
      </w:pPr>
    </w:p>
    <w:p>
      <w:pPr>
        <w:ind w:left="880"/>
        <w:spacing w:after="0"/>
        <w:tabs>
          <w:tab w:leader="none" w:pos="160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19"/>
          <w:szCs w:val="19"/>
          <w:u w:val="single" w:color="auto"/>
          <w:color w:val="auto"/>
        </w:rPr>
        <w:t>Number of Shares.</w:t>
      </w:r>
    </w:p>
    <w:p>
      <w:pPr>
        <w:spacing w:after="0" w:line="184" w:lineRule="exact"/>
        <w:rPr>
          <w:sz w:val="20"/>
          <w:szCs w:val="20"/>
          <w:color w:val="auto"/>
        </w:rPr>
      </w:pPr>
    </w:p>
    <w:p>
      <w:pPr>
        <w:ind w:left="240" w:right="280" w:firstLine="1290"/>
        <w:spacing w:after="0" w:line="244" w:lineRule="auto"/>
        <w:tabs>
          <w:tab w:leader="none" w:pos="2237"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Section 12.2 and Section 3.1(b) and, with respect to Incentive Stock Options only, to the penultimate sentence of this Section 3.1(a), the aggregate number of Shares that may be issued or transferred pursuant to Awards under the Plan is the sum of (i) 11,000,000, and (ii) any Shares which as of the</w:t>
      </w:r>
    </w:p>
    <w:p>
      <w:pPr>
        <w:spacing w:after="0" w:line="144"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370205</wp:posOffset>
            </wp:positionV>
            <wp:extent cx="5871845"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420"/>
          </w:cols>
          <w:pgMar w:left="1120" w:top="441" w:right="1359" w:bottom="1440" w:gutter="0" w:footer="0" w:header="0"/>
        </w:sectPr>
      </w:pPr>
    </w:p>
    <w:bookmarkStart w:id="16" w:name="page17"/>
    <w:bookmarkEnd w:id="16"/>
    <w:p>
      <w:pPr>
        <w:ind w:right="300"/>
        <w:spacing w:after="0" w:line="234" w:lineRule="auto"/>
        <w:rPr>
          <w:sz w:val="20"/>
          <w:szCs w:val="20"/>
          <w:color w:val="auto"/>
        </w:rPr>
      </w:pPr>
      <w:r>
        <w:rPr>
          <w:rFonts w:ascii="Times New Roman" w:cs="Times New Roman" w:eastAsia="Times New Roman" w:hAnsi="Times New Roman"/>
          <w:sz w:val="19"/>
          <w:szCs w:val="19"/>
          <w:color w:val="auto"/>
        </w:rPr>
        <w:t>Effective Date are available for issuance under the Prior Plan, or are subject to Prior Plan Awards which become available for future grants of Awards under the Plan following the Effective Date pursuant to Section 3.1(b).</w:t>
      </w:r>
    </w:p>
    <w:p>
      <w:pPr>
        <w:spacing w:after="0" w:line="1" w:lineRule="exact"/>
        <w:rPr>
          <w:sz w:val="20"/>
          <w:szCs w:val="20"/>
          <w:color w:val="auto"/>
        </w:rPr>
      </w:pPr>
    </w:p>
    <w:p>
      <w:pPr>
        <w:ind w:right="80" w:firstLine="49"/>
        <w:spacing w:after="0" w:line="204" w:lineRule="auto"/>
        <w:rPr>
          <w:sz w:val="20"/>
          <w:szCs w:val="20"/>
          <w:color w:val="auto"/>
        </w:rPr>
      </w:pPr>
      <w:r>
        <w:rPr>
          <w:rFonts w:ascii="Times New Roman" w:cs="Times New Roman" w:eastAsia="Times New Roman" w:hAnsi="Times New Roman"/>
          <w:sz w:val="20"/>
          <w:szCs w:val="20"/>
          <w:color w:val="auto"/>
        </w:rPr>
        <w:t>Notwithstanding anything in this Section 3.1 to the contrary, the aggregate number of Shares that may be issued or transferred pursuant to Incentive Stock Options under the Plan shall not exceed 11,000,000 Shares, subject to</w:t>
      </w:r>
    </w:p>
    <w:p>
      <w:pPr>
        <w:spacing w:after="0" w:line="211" w:lineRule="auto"/>
        <w:rPr>
          <w:sz w:val="20"/>
          <w:szCs w:val="20"/>
          <w:color w:val="auto"/>
        </w:rPr>
      </w:pPr>
      <w:r>
        <w:rPr>
          <w:rFonts w:ascii="Times New Roman" w:cs="Times New Roman" w:eastAsia="Times New Roman" w:hAnsi="Times New Roman"/>
          <w:sz w:val="20"/>
          <w:szCs w:val="20"/>
          <w:color w:val="auto"/>
        </w:rPr>
        <w:t>Section 3.1(c) and subject to adjustment pursuant to Section 12.2. From and after the Effective Date, no awards</w:t>
      </w:r>
    </w:p>
    <w:p>
      <w:pPr>
        <w:spacing w:after="0" w:line="1" w:lineRule="exact"/>
        <w:rPr>
          <w:sz w:val="20"/>
          <w:szCs w:val="20"/>
          <w:color w:val="auto"/>
        </w:rPr>
      </w:pPr>
    </w:p>
    <w:p>
      <w:pPr>
        <w:ind w:right="200"/>
        <w:spacing w:after="0" w:line="221" w:lineRule="auto"/>
        <w:rPr>
          <w:sz w:val="20"/>
          <w:szCs w:val="20"/>
          <w:color w:val="auto"/>
        </w:rPr>
      </w:pPr>
      <w:r>
        <w:rPr>
          <w:rFonts w:ascii="Times New Roman" w:cs="Times New Roman" w:eastAsia="Times New Roman" w:hAnsi="Times New Roman"/>
          <w:sz w:val="20"/>
          <w:szCs w:val="20"/>
          <w:color w:val="auto"/>
        </w:rPr>
        <w:t>shall be granted under the Prior Plan; however, any Prior Plan Award shall continue to be subject to the terms and conditions of the Prior Plan.</w:t>
      </w:r>
    </w:p>
    <w:p>
      <w:pPr>
        <w:spacing w:after="0" w:line="162" w:lineRule="exact"/>
        <w:rPr>
          <w:sz w:val="20"/>
          <w:szCs w:val="20"/>
          <w:color w:val="auto"/>
        </w:rPr>
      </w:pPr>
    </w:p>
    <w:p>
      <w:pPr>
        <w:ind w:right="40" w:firstLine="1290"/>
        <w:spacing w:after="0" w:line="222" w:lineRule="auto"/>
        <w:tabs>
          <w:tab w:leader="none" w:pos="2008" w:val="left"/>
        </w:tabs>
        <w:numPr>
          <w:ilvl w:val="0"/>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To the extent all or a portion of an Award or a Prior Plan Award is forfeited, terminates, expires or lapses for any reason, or is settled for cash without the delivery of Shares to the Holder, any Shares subject to such Award, Prior Plan Award or portion thereof, to the extent of such forfeiture, termination, expiration, lapse or cash settlement, shall again be or shall become, as applicable, available for the grant of an Award pursuant to the Plan. Any Shares tendered by a Holder or withheld by the Company or any Subsidiary to satisfy the grant or exercise price or tax withholding obligation in connection with all or a portion of an Award or Prior Plan Award shall again be or shall become, as applicable, available for the grant of an Award pursuant to the Plan. Any Shares subject to a Stock Appreciation Right that are not issued in connection with the stock settlement of the Stock Appreciation Right on exercise thereof shall again be available for the grant of an Award pursuant to the Plan. Any Shares repurchased by or surrendered to the Company pursuant to Section 6.5 or in connection with any Prior Plan Award so that such Shares are returned to the Company shall again be or shall become, as applicable, available for the grant of an Award pursuant to the Plan. Notwithstanding the provisions of this Section 3.1(b), no Shares may again be or, as applicable, may become eligible to be, optioned, granted or awarded if such action would cause an Incentive Stock Option to fail to qualify as an incentive stock option under Section 422 of the Code.</w:t>
      </w:r>
    </w:p>
    <w:p>
      <w:pPr>
        <w:spacing w:after="0" w:line="154" w:lineRule="exact"/>
        <w:rPr>
          <w:rFonts w:ascii="Times New Roman" w:cs="Times New Roman" w:eastAsia="Times New Roman" w:hAnsi="Times New Roman"/>
          <w:sz w:val="19"/>
          <w:szCs w:val="19"/>
          <w:color w:val="auto"/>
        </w:rPr>
      </w:pPr>
    </w:p>
    <w:p>
      <w:pPr>
        <w:ind w:firstLine="1290"/>
        <w:spacing w:after="0" w:line="212" w:lineRule="auto"/>
        <w:tabs>
          <w:tab w:leader="none" w:pos="1997"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permitted by Applicable Law, Substitute Awards shall not reduce the Shares authorized for grant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authorized for grant under the Plan;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Awards using such available shares shall not be made after the date awards or grants could have been made under the terms of the pre-existing plan, absent the acquisition or combination, and shall only be made to individuals who were not employed by or providing services to the Company or its Subsidiaries immediately prior to such acquisition or combination.</w:t>
      </w:r>
    </w:p>
    <w:p>
      <w:pPr>
        <w:spacing w:after="0" w:line="150"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3.2</w:t>
      </w:r>
      <w:r>
        <w:rPr>
          <w:sz w:val="20"/>
          <w:szCs w:val="20"/>
          <w:color w:val="auto"/>
        </w:rPr>
        <w:tab/>
      </w:r>
      <w:r>
        <w:rPr>
          <w:rFonts w:ascii="Times New Roman" w:cs="Times New Roman" w:eastAsia="Times New Roman" w:hAnsi="Times New Roman"/>
          <w:sz w:val="19"/>
          <w:szCs w:val="19"/>
          <w:u w:val="single" w:color="auto"/>
          <w:color w:val="auto"/>
        </w:rPr>
        <w:t>Stock Distributed.</w:t>
      </w:r>
    </w:p>
    <w:p>
      <w:pPr>
        <w:spacing w:after="0" w:line="184" w:lineRule="exact"/>
        <w:rPr>
          <w:sz w:val="20"/>
          <w:szCs w:val="20"/>
          <w:color w:val="auto"/>
        </w:rPr>
      </w:pPr>
    </w:p>
    <w:p>
      <w:pPr>
        <w:ind w:right="200" w:firstLine="648"/>
        <w:spacing w:after="0"/>
        <w:rPr>
          <w:sz w:val="20"/>
          <w:szCs w:val="20"/>
          <w:color w:val="auto"/>
        </w:rPr>
      </w:pPr>
      <w:r>
        <w:rPr>
          <w:rFonts w:ascii="Times New Roman" w:cs="Times New Roman" w:eastAsia="Times New Roman" w:hAnsi="Times New Roman"/>
          <w:sz w:val="20"/>
          <w:szCs w:val="20"/>
          <w:color w:val="auto"/>
        </w:rPr>
        <w:t>Any Shares distributed pursuant to an Award may consist, in whole or in part, of authorized and unissued Common Stock, treasury Common Stock or Common Stock purchased on the open market.</w:t>
      </w:r>
    </w:p>
    <w:p>
      <w:pPr>
        <w:spacing w:after="0" w:line="156"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3.3</w:t>
      </w:r>
      <w:r>
        <w:rPr>
          <w:sz w:val="20"/>
          <w:szCs w:val="20"/>
          <w:color w:val="auto"/>
        </w:rPr>
        <w:tab/>
      </w:r>
      <w:r>
        <w:rPr>
          <w:rFonts w:ascii="Times New Roman" w:cs="Times New Roman" w:eastAsia="Times New Roman" w:hAnsi="Times New Roman"/>
          <w:sz w:val="19"/>
          <w:szCs w:val="19"/>
          <w:u w:val="single" w:color="auto"/>
          <w:color w:val="auto"/>
        </w:rPr>
        <w:t>Minimum Vesting Requirement.</w:t>
      </w:r>
    </w:p>
    <w:p>
      <w:pPr>
        <w:spacing w:after="0" w:line="184" w:lineRule="exact"/>
        <w:rPr>
          <w:sz w:val="20"/>
          <w:szCs w:val="20"/>
          <w:color w:val="auto"/>
        </w:rPr>
      </w:pPr>
    </w:p>
    <w:p>
      <w:pPr>
        <w:ind w:right="220" w:firstLine="697"/>
        <w:spacing w:after="0" w:line="227" w:lineRule="auto"/>
        <w:rPr>
          <w:sz w:val="20"/>
          <w:szCs w:val="20"/>
          <w:color w:val="auto"/>
        </w:rPr>
      </w:pPr>
      <w:r>
        <w:rPr>
          <w:rFonts w:ascii="Times New Roman" w:cs="Times New Roman" w:eastAsia="Times New Roman" w:hAnsi="Times New Roman"/>
          <w:sz w:val="19"/>
          <w:szCs w:val="19"/>
          <w:color w:val="auto"/>
        </w:rPr>
        <w:t>Notwithstanding any other provision of the Plan to the contrary, Awards granted under the Plan shall not vest over a period of less than one year from the date on which the Award is granted; provided that the following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-127000</wp:posOffset>
            </wp:positionV>
            <wp:extent cx="3111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1115" cy="8890"/>
                    </a:xfrm>
                    <a:prstGeom prst="rect">
                      <a:avLst/>
                    </a:prstGeom>
                    <a:noFill/>
                  </pic:spPr>
                </pic:pic>
              </a:graphicData>
            </a:graphic>
          </wp:anchor>
        </w:drawing>
      </w:r>
    </w:p>
    <w:p>
      <w:pPr>
        <w:spacing w:after="0" w:line="222" w:lineRule="auto"/>
        <w:rPr>
          <w:sz w:val="20"/>
          <w:szCs w:val="20"/>
          <w:color w:val="auto"/>
        </w:rPr>
      </w:pPr>
      <w:r>
        <w:rPr>
          <w:rFonts w:ascii="Times New Roman" w:cs="Times New Roman" w:eastAsia="Times New Roman" w:hAnsi="Times New Roman"/>
          <w:sz w:val="19"/>
          <w:szCs w:val="19"/>
          <w:color w:val="auto"/>
        </w:rPr>
        <w:t>Awards shall not be subject to the foregoing minimum vesting requirement: any (i) Substitute Awards (as such term</w:t>
      </w:r>
    </w:p>
    <w:p>
      <w:pPr>
        <w:spacing w:after="0" w:line="1" w:lineRule="exact"/>
        <w:rPr>
          <w:sz w:val="20"/>
          <w:szCs w:val="20"/>
          <w:color w:val="auto"/>
        </w:rPr>
      </w:pPr>
    </w:p>
    <w:p>
      <w:pPr>
        <w:ind w:right="540"/>
        <w:spacing w:after="0" w:line="215" w:lineRule="auto"/>
        <w:rPr>
          <w:sz w:val="20"/>
          <w:szCs w:val="20"/>
          <w:color w:val="auto"/>
        </w:rPr>
      </w:pPr>
      <w:r>
        <w:rPr>
          <w:rFonts w:ascii="Times New Roman" w:cs="Times New Roman" w:eastAsia="Times New Roman" w:hAnsi="Times New Roman"/>
          <w:sz w:val="19"/>
          <w:szCs w:val="19"/>
          <w:color w:val="auto"/>
        </w:rPr>
        <w:t>is defined in Section 2.47)), (ii) Awards to Non-Employee Directors that vest on the earlier of the one-year anniversary of the date of grant and the next annual meeting of stockholders that is at least 50 weeks after the</w:t>
      </w:r>
    </w:p>
    <w:p>
      <w:pPr>
        <w:spacing w:after="0" w:line="222" w:lineRule="auto"/>
        <w:rPr>
          <w:sz w:val="20"/>
          <w:szCs w:val="20"/>
          <w:color w:val="auto"/>
        </w:rPr>
      </w:pPr>
      <w:r>
        <w:rPr>
          <w:rFonts w:ascii="Times New Roman" w:cs="Times New Roman" w:eastAsia="Times New Roman" w:hAnsi="Times New Roman"/>
          <w:sz w:val="19"/>
          <w:szCs w:val="19"/>
          <w:color w:val="auto"/>
        </w:rPr>
        <w:t>immediately preceding year’s annual meeting, and (iii) any additional Awards that the Administrator may grant, up</w:t>
      </w:r>
    </w:p>
    <w:p>
      <w:pPr>
        <w:ind w:right="520"/>
        <w:spacing w:after="0" w:line="221" w:lineRule="auto"/>
        <w:rPr>
          <w:sz w:val="20"/>
          <w:szCs w:val="20"/>
          <w:color w:val="auto"/>
        </w:rPr>
      </w:pPr>
      <w:r>
        <w:rPr>
          <w:rFonts w:ascii="Times New Roman" w:cs="Times New Roman" w:eastAsia="Times New Roman" w:hAnsi="Times New Roman"/>
          <w:sz w:val="20"/>
          <w:szCs w:val="20"/>
          <w:color w:val="auto"/>
        </w:rPr>
        <w:t>to a maximum of five percent (5%) of the available share reserve authorized or issuance under the Plan under Section 3.1 (subject to adjustment under Section 12.2); provided, further, that the Administrator may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301625</wp:posOffset>
            </wp:positionV>
            <wp:extent cx="5871845"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80"/>
          </w:cols>
          <w:pgMar w:left="1360" w:top="441" w:right="1359" w:bottom="1440" w:gutter="0" w:footer="0" w:header="0"/>
        </w:sectPr>
      </w:pPr>
    </w:p>
    <w:bookmarkStart w:id="17" w:name="page18"/>
    <w:bookmarkEnd w:id="17"/>
    <w:p>
      <w:pPr>
        <w:ind w:right="740"/>
        <w:spacing w:after="0"/>
        <w:rPr>
          <w:sz w:val="20"/>
          <w:szCs w:val="20"/>
          <w:color w:val="auto"/>
        </w:rPr>
      </w:pPr>
      <w:r>
        <w:rPr>
          <w:rFonts w:ascii="Times New Roman" w:cs="Times New Roman" w:eastAsia="Times New Roman" w:hAnsi="Times New Roman"/>
          <w:sz w:val="20"/>
          <w:szCs w:val="20"/>
          <w:color w:val="auto"/>
        </w:rPr>
        <w:t>authorize acceleration of vesting of such Awards in the event of the Participant’s death or Disability, or the occurrence of a Change in Control as provided in Section 12.2.</w:t>
      </w:r>
    </w:p>
    <w:p>
      <w:pPr>
        <w:spacing w:after="0" w:line="15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4.</w:t>
      </w:r>
    </w:p>
    <w:p>
      <w:pPr>
        <w:spacing w:after="0" w:line="161"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color w:val="auto"/>
        </w:rPr>
        <w:t>GRANTING OF AWARDS</w:t>
      </w:r>
    </w:p>
    <w:p>
      <w:pPr>
        <w:spacing w:after="0" w:line="18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19"/>
          <w:szCs w:val="19"/>
          <w:u w:val="single" w:color="auto"/>
          <w:color w:val="auto"/>
        </w:rPr>
        <w:t>Participation.</w:t>
      </w:r>
    </w:p>
    <w:p>
      <w:pPr>
        <w:spacing w:after="0" w:line="184" w:lineRule="exact"/>
        <w:rPr>
          <w:sz w:val="20"/>
          <w:szCs w:val="20"/>
          <w:color w:val="auto"/>
        </w:rPr>
      </w:pPr>
    </w:p>
    <w:p>
      <w:pPr>
        <w:ind w:right="200" w:firstLine="648"/>
        <w:spacing w:after="0" w:line="227" w:lineRule="auto"/>
        <w:rPr>
          <w:sz w:val="20"/>
          <w:szCs w:val="20"/>
          <w:color w:val="auto"/>
        </w:rPr>
      </w:pPr>
      <w:r>
        <w:rPr>
          <w:rFonts w:ascii="Times New Roman" w:cs="Times New Roman" w:eastAsia="Times New Roman" w:hAnsi="Times New Roman"/>
          <w:sz w:val="19"/>
          <w:szCs w:val="19"/>
          <w:color w:val="auto"/>
        </w:rPr>
        <w:t>The Administrator may, from time to time, select from among all Eligible Individuals those to whom an Award shall be granted and shall determine the nature and amount of each Award, which shall not be inconsistent</w:t>
      </w:r>
    </w:p>
    <w:p>
      <w:pPr>
        <w:ind w:right="180"/>
        <w:spacing w:after="0" w:line="228" w:lineRule="auto"/>
        <w:rPr>
          <w:sz w:val="20"/>
          <w:szCs w:val="20"/>
          <w:color w:val="auto"/>
        </w:rPr>
      </w:pPr>
      <w:r>
        <w:rPr>
          <w:rFonts w:ascii="Times New Roman" w:cs="Times New Roman" w:eastAsia="Times New Roman" w:hAnsi="Times New Roman"/>
          <w:sz w:val="20"/>
          <w:szCs w:val="20"/>
          <w:color w:val="auto"/>
        </w:rPr>
        <w:t>with the requirements of the Plan. No Eligible Individual shall have any right to be granted an Award pursuant to the Plan.</w:t>
      </w:r>
    </w:p>
    <w:p>
      <w:pPr>
        <w:spacing w:after="0" w:line="14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19"/>
          <w:szCs w:val="19"/>
          <w:u w:val="single" w:color="auto"/>
          <w:color w:val="auto"/>
        </w:rPr>
        <w:t>Award Agreement.</w:t>
      </w:r>
    </w:p>
    <w:p>
      <w:pPr>
        <w:spacing w:after="0" w:line="184" w:lineRule="exact"/>
        <w:rPr>
          <w:sz w:val="20"/>
          <w:szCs w:val="20"/>
          <w:color w:val="auto"/>
        </w:rPr>
      </w:pPr>
    </w:p>
    <w:p>
      <w:pPr>
        <w:ind w:firstLine="648"/>
        <w:spacing w:after="0" w:line="234" w:lineRule="auto"/>
        <w:rPr>
          <w:sz w:val="20"/>
          <w:szCs w:val="20"/>
          <w:color w:val="auto"/>
        </w:rPr>
      </w:pPr>
      <w:r>
        <w:rPr>
          <w:rFonts w:ascii="Times New Roman" w:cs="Times New Roman" w:eastAsia="Times New Roman" w:hAnsi="Times New Roman"/>
          <w:sz w:val="19"/>
          <w:szCs w:val="19"/>
          <w:color w:val="auto"/>
        </w:rPr>
        <w:t>Unless otherwise determined by the Administrator, each Award shall be evidenced by an Award Agreement that sets forth the terms, conditions and limitations for such Award, which may include the term of the Award, the</w:t>
      </w:r>
    </w:p>
    <w:p>
      <w:pPr>
        <w:spacing w:after="0" w:line="1" w:lineRule="exact"/>
        <w:rPr>
          <w:sz w:val="20"/>
          <w:szCs w:val="20"/>
          <w:color w:val="auto"/>
        </w:rPr>
      </w:pPr>
    </w:p>
    <w:p>
      <w:pPr>
        <w:ind w:right="300"/>
        <w:spacing w:after="0" w:line="215" w:lineRule="auto"/>
        <w:rPr>
          <w:sz w:val="20"/>
          <w:szCs w:val="20"/>
          <w:color w:val="auto"/>
        </w:rPr>
      </w:pPr>
      <w:r>
        <w:rPr>
          <w:rFonts w:ascii="Times New Roman" w:cs="Times New Roman" w:eastAsia="Times New Roman" w:hAnsi="Times New Roman"/>
          <w:sz w:val="19"/>
          <w:szCs w:val="19"/>
          <w:color w:val="auto"/>
        </w:rPr>
        <w:t>provisions applicable in the event of the Holder’s Termination of Service, and the Company’s authority to unilaterally or bilaterally amend, modify, suspend, cancel or rescind an Award. Award Agreements evidencing</w:t>
      </w:r>
    </w:p>
    <w:p>
      <w:pPr>
        <w:ind w:right="640"/>
        <w:spacing w:after="0" w:line="228" w:lineRule="auto"/>
        <w:rPr>
          <w:sz w:val="20"/>
          <w:szCs w:val="20"/>
          <w:color w:val="auto"/>
        </w:rPr>
      </w:pPr>
      <w:r>
        <w:rPr>
          <w:rFonts w:ascii="Times New Roman" w:cs="Times New Roman" w:eastAsia="Times New Roman" w:hAnsi="Times New Roman"/>
          <w:sz w:val="20"/>
          <w:szCs w:val="20"/>
          <w:color w:val="auto"/>
        </w:rPr>
        <w:t>Incentive Stock Options shall contain such terms and conditions as may be necessary to meet the applicable provisions of Section 422 of the Code.</w:t>
      </w:r>
    </w:p>
    <w:p>
      <w:pPr>
        <w:spacing w:after="0" w:line="14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19"/>
          <w:szCs w:val="19"/>
          <w:u w:val="single" w:color="auto"/>
          <w:color w:val="auto"/>
        </w:rPr>
        <w:t>Limitations Applicable to Section 16 Persons.</w:t>
      </w:r>
    </w:p>
    <w:p>
      <w:pPr>
        <w:spacing w:after="0" w:line="184" w:lineRule="exact"/>
        <w:rPr>
          <w:sz w:val="20"/>
          <w:szCs w:val="20"/>
          <w:color w:val="auto"/>
        </w:rPr>
      </w:pPr>
    </w:p>
    <w:p>
      <w:pPr>
        <w:ind w:right="160" w:firstLine="648"/>
        <w:spacing w:after="0" w:line="234" w:lineRule="auto"/>
        <w:rPr>
          <w:sz w:val="20"/>
          <w:szCs w:val="20"/>
          <w:color w:val="auto"/>
        </w:rPr>
      </w:pPr>
      <w:r>
        <w:rPr>
          <w:rFonts w:ascii="Times New Roman" w:cs="Times New Roman" w:eastAsia="Times New Roman" w:hAnsi="Times New Roman"/>
          <w:sz w:val="19"/>
          <w:szCs w:val="19"/>
          <w:color w:val="auto"/>
        </w:rPr>
        <w:t>Notwithstanding any other provision of the Plan, the Plan, and any Award granted or awarded to any individual who is then subject to Section 16 of the Exchange Act, shall be subject to any additional limitations set</w:t>
      </w:r>
    </w:p>
    <w:p>
      <w:pPr>
        <w:spacing w:after="0" w:line="1" w:lineRule="exact"/>
        <w:rPr>
          <w:sz w:val="20"/>
          <w:szCs w:val="20"/>
          <w:color w:val="auto"/>
        </w:rPr>
      </w:pPr>
    </w:p>
    <w:p>
      <w:pPr>
        <w:ind w:right="240"/>
        <w:spacing w:after="0" w:line="215" w:lineRule="auto"/>
        <w:rPr>
          <w:sz w:val="20"/>
          <w:szCs w:val="20"/>
          <w:color w:val="auto"/>
        </w:rPr>
      </w:pPr>
      <w:r>
        <w:rPr>
          <w:rFonts w:ascii="Times New Roman" w:cs="Times New Roman" w:eastAsia="Times New Roman" w:hAnsi="Times New Roman"/>
          <w:sz w:val="19"/>
          <w:szCs w:val="19"/>
          <w:color w:val="auto"/>
        </w:rPr>
        <w:t>forth in any applicable exemptive rule under Section 16 of the Exchange Act (including Rule 16b-3 of the Exchange Act and any amendments thereto) that are requirements for the application of such exemptive rule. To</w:t>
      </w:r>
    </w:p>
    <w:p>
      <w:pPr>
        <w:ind w:right="560"/>
        <w:spacing w:after="0" w:line="221" w:lineRule="auto"/>
        <w:rPr>
          <w:sz w:val="20"/>
          <w:szCs w:val="20"/>
          <w:color w:val="auto"/>
        </w:rPr>
      </w:pPr>
      <w:r>
        <w:rPr>
          <w:rFonts w:ascii="Times New Roman" w:cs="Times New Roman" w:eastAsia="Times New Roman" w:hAnsi="Times New Roman"/>
          <w:sz w:val="20"/>
          <w:szCs w:val="20"/>
          <w:color w:val="auto"/>
        </w:rPr>
        <w:t>the extent permitted by Applicable Law, the Plan and Awards granted or awarded hereunder shall be deemed amended to the extent necessary to conform to such applicable exemptive rule.</w:t>
      </w:r>
    </w:p>
    <w:p>
      <w:pPr>
        <w:spacing w:after="0" w:line="157"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4.4</w:t>
      </w:r>
      <w:r>
        <w:rPr>
          <w:sz w:val="20"/>
          <w:szCs w:val="20"/>
          <w:color w:val="auto"/>
        </w:rPr>
        <w:tab/>
      </w:r>
      <w:r>
        <w:rPr>
          <w:rFonts w:ascii="Times New Roman" w:cs="Times New Roman" w:eastAsia="Times New Roman" w:hAnsi="Times New Roman"/>
          <w:sz w:val="19"/>
          <w:szCs w:val="19"/>
          <w:u w:val="single" w:color="auto"/>
          <w:color w:val="auto"/>
        </w:rPr>
        <w:t>At-Will Employment; Voluntary Participation.</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Nothing in the Plan or in any Award Agreement shall confer upon any Holder any right to continue in the</w:t>
      </w:r>
    </w:p>
    <w:p>
      <w:pPr>
        <w:ind w:right="220"/>
        <w:spacing w:after="0" w:line="215" w:lineRule="auto"/>
        <w:rPr>
          <w:sz w:val="20"/>
          <w:szCs w:val="20"/>
          <w:color w:val="auto"/>
        </w:rPr>
      </w:pPr>
      <w:r>
        <w:rPr>
          <w:rFonts w:ascii="Times New Roman" w:cs="Times New Roman" w:eastAsia="Times New Roman" w:hAnsi="Times New Roman"/>
          <w:sz w:val="19"/>
          <w:szCs w:val="19"/>
          <w:color w:val="auto"/>
        </w:rPr>
        <w:t>employ of, or as a Director or Consultant for, the Company or any Subsidiary, or shall interfere with or restrict in any way the rights of the Company and any Subsidiary, which rights are hereby expressly reserved, to discharge</w:t>
      </w:r>
    </w:p>
    <w:p>
      <w:pPr>
        <w:spacing w:after="0" w:line="211" w:lineRule="auto"/>
        <w:rPr>
          <w:sz w:val="20"/>
          <w:szCs w:val="20"/>
          <w:color w:val="auto"/>
        </w:rPr>
      </w:pPr>
      <w:r>
        <w:rPr>
          <w:rFonts w:ascii="Times New Roman" w:cs="Times New Roman" w:eastAsia="Times New Roman" w:hAnsi="Times New Roman"/>
          <w:sz w:val="20"/>
          <w:szCs w:val="20"/>
          <w:color w:val="auto"/>
        </w:rPr>
        <w:t>any Holder at any time for any reason whatsoever, with or without Misconduct, and with or without notice, or to</w:t>
      </w:r>
    </w:p>
    <w:p>
      <w:pPr>
        <w:ind w:right="180"/>
        <w:spacing w:after="0" w:line="215" w:lineRule="auto"/>
        <w:rPr>
          <w:sz w:val="20"/>
          <w:szCs w:val="20"/>
          <w:color w:val="auto"/>
        </w:rPr>
      </w:pPr>
      <w:r>
        <w:rPr>
          <w:rFonts w:ascii="Times New Roman" w:cs="Times New Roman" w:eastAsia="Times New Roman" w:hAnsi="Times New Roman"/>
          <w:sz w:val="19"/>
          <w:szCs w:val="19"/>
          <w:color w:val="auto"/>
        </w:rPr>
        <w:t>terminate or change all other terms and conditions of employment or engagement, except to the extent expressly provided otherwise in a written agreement between the Holder and the Company or any Subsidiary. Participation</w:t>
      </w:r>
    </w:p>
    <w:p>
      <w:pPr>
        <w:ind w:right="460"/>
        <w:spacing w:after="0" w:line="228" w:lineRule="auto"/>
        <w:rPr>
          <w:sz w:val="20"/>
          <w:szCs w:val="20"/>
          <w:color w:val="auto"/>
        </w:rPr>
      </w:pPr>
      <w:r>
        <w:rPr>
          <w:rFonts w:ascii="Times New Roman" w:cs="Times New Roman" w:eastAsia="Times New Roman" w:hAnsi="Times New Roman"/>
          <w:sz w:val="20"/>
          <w:szCs w:val="20"/>
          <w:color w:val="auto"/>
        </w:rPr>
        <w:t>by each Holder in the Plan shall be voluntary and nothing in the Plan shall be construed as mandating that any Eligible Individual shall participate in the Plan.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301625</wp:posOffset>
            </wp:positionV>
            <wp:extent cx="5871845" cy="508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0"/>
          </w:cols>
          <w:pgMar w:left="1360" w:top="441" w:right="1379" w:bottom="1440" w:gutter="0" w:footer="0" w:header="0"/>
        </w:sectPr>
      </w:pPr>
    </w:p>
    <w:bookmarkStart w:id="18" w:name="page19"/>
    <w:bookmarkEnd w:id="18"/>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4.5</w:t>
      </w:r>
      <w:r>
        <w:rPr>
          <w:sz w:val="20"/>
          <w:szCs w:val="20"/>
          <w:color w:val="auto"/>
        </w:rPr>
        <w:tab/>
      </w:r>
      <w:r>
        <w:rPr>
          <w:rFonts w:ascii="Times New Roman" w:cs="Times New Roman" w:eastAsia="Times New Roman" w:hAnsi="Times New Roman"/>
          <w:sz w:val="19"/>
          <w:szCs w:val="19"/>
          <w:u w:val="single" w:color="auto"/>
          <w:color w:val="auto"/>
        </w:rPr>
        <w:t>Foreign Holders.</w:t>
      </w:r>
    </w:p>
    <w:p>
      <w:pPr>
        <w:spacing w:after="0" w:line="184" w:lineRule="exact"/>
        <w:rPr>
          <w:sz w:val="20"/>
          <w:szCs w:val="20"/>
          <w:color w:val="auto"/>
        </w:rPr>
      </w:pPr>
    </w:p>
    <w:p>
      <w:pPr>
        <w:ind w:right="20" w:firstLine="648"/>
        <w:spacing w:after="0" w:line="234" w:lineRule="auto"/>
        <w:rPr>
          <w:sz w:val="20"/>
          <w:szCs w:val="20"/>
          <w:color w:val="auto"/>
        </w:rPr>
      </w:pPr>
      <w:r>
        <w:rPr>
          <w:rFonts w:ascii="Times New Roman" w:cs="Times New Roman" w:eastAsia="Times New Roman" w:hAnsi="Times New Roman"/>
          <w:sz w:val="19"/>
          <w:szCs w:val="19"/>
          <w:color w:val="auto"/>
        </w:rPr>
        <w:t>Notwithstanding any provision of the Plan to the contrary, in order to comply with the laws in countries other than the United States in which the Company and its Subsidiaries operate or have Employees, Non-Employee</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Directors or Consultants, or in order to comply with the requirements of any foreign securities exchange and Applicable Law, the Administrator, in its sole discretion, shall have the power and authority to: (a) determine which</w:t>
      </w:r>
    </w:p>
    <w:p>
      <w:pPr>
        <w:spacing w:after="0" w:line="211" w:lineRule="auto"/>
        <w:rPr>
          <w:sz w:val="20"/>
          <w:szCs w:val="20"/>
          <w:color w:val="auto"/>
        </w:rPr>
      </w:pPr>
      <w:r>
        <w:rPr>
          <w:rFonts w:ascii="Times New Roman" w:cs="Times New Roman" w:eastAsia="Times New Roman" w:hAnsi="Times New Roman"/>
          <w:sz w:val="20"/>
          <w:szCs w:val="20"/>
          <w:color w:val="auto"/>
        </w:rPr>
        <w:t>Subsidiaries shall be covered by the Plan; (b) determine which Eligible Individuals outside the United States are</w:t>
      </w:r>
    </w:p>
    <w:p>
      <w:pPr>
        <w:ind w:right="80"/>
        <w:spacing w:after="0" w:line="215" w:lineRule="auto"/>
        <w:rPr>
          <w:sz w:val="20"/>
          <w:szCs w:val="20"/>
          <w:color w:val="auto"/>
        </w:rPr>
      </w:pPr>
      <w:r>
        <w:rPr>
          <w:rFonts w:ascii="Times New Roman" w:cs="Times New Roman" w:eastAsia="Times New Roman" w:hAnsi="Times New Roman"/>
          <w:sz w:val="19"/>
          <w:szCs w:val="19"/>
          <w:color w:val="auto"/>
        </w:rPr>
        <w:t>eligible to participate in the Plan; (c) modify the terms and conditions of any Award granted to Eligible Individuals outside the United States to comply with applicable foreign laws or listing requirements of any such foreign</w:t>
      </w:r>
    </w:p>
    <w:p>
      <w:pPr>
        <w:spacing w:after="0" w:line="211" w:lineRule="auto"/>
        <w:rPr>
          <w:sz w:val="20"/>
          <w:szCs w:val="20"/>
          <w:color w:val="auto"/>
        </w:rPr>
      </w:pPr>
      <w:r>
        <w:rPr>
          <w:rFonts w:ascii="Times New Roman" w:cs="Times New Roman" w:eastAsia="Times New Roman" w:hAnsi="Times New Roman"/>
          <w:sz w:val="20"/>
          <w:szCs w:val="20"/>
          <w:color w:val="auto"/>
        </w:rPr>
        <w:t>securities exchange; (d) establish subplans and modify exercise procedures and other terms and procedures, to the</w:t>
      </w:r>
    </w:p>
    <w:p>
      <w:pPr>
        <w:ind w:right="100"/>
        <w:spacing w:after="0" w:line="204" w:lineRule="auto"/>
        <w:rPr>
          <w:sz w:val="20"/>
          <w:szCs w:val="20"/>
          <w:color w:val="auto"/>
        </w:rPr>
      </w:pPr>
      <w:r>
        <w:rPr>
          <w:rFonts w:ascii="Times New Roman" w:cs="Times New Roman" w:eastAsia="Times New Roman" w:hAnsi="Times New Roman"/>
          <w:sz w:val="20"/>
          <w:szCs w:val="20"/>
          <w:color w:val="auto"/>
        </w:rPr>
        <w:t xml:space="preserve">extent such actions may be necessary or advisable (any such subplans and/or modifications shall be attached to the Plan as appendices);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such subplans and/or modifications shall increase the share</w:t>
      </w:r>
    </w:p>
    <w:p>
      <w:pPr>
        <w:spacing w:after="0" w:line="211" w:lineRule="auto"/>
        <w:rPr>
          <w:sz w:val="20"/>
          <w:szCs w:val="20"/>
          <w:color w:val="auto"/>
        </w:rPr>
      </w:pPr>
      <w:r>
        <w:rPr>
          <w:rFonts w:ascii="Times New Roman" w:cs="Times New Roman" w:eastAsia="Times New Roman" w:hAnsi="Times New Roman"/>
          <w:sz w:val="20"/>
          <w:szCs w:val="20"/>
          <w:color w:val="auto"/>
        </w:rPr>
        <w:t>limitations contained in Sections 3.1 and 3.3; and (e) take any action, before or after an Award is made, that it</w:t>
      </w:r>
    </w:p>
    <w:p>
      <w:pPr>
        <w:spacing w:after="0" w:line="1" w:lineRule="exact"/>
        <w:rPr>
          <w:sz w:val="20"/>
          <w:szCs w:val="20"/>
          <w:color w:val="auto"/>
        </w:rPr>
      </w:pPr>
    </w:p>
    <w:p>
      <w:pPr>
        <w:ind w:right="360"/>
        <w:spacing w:after="0" w:line="215" w:lineRule="auto"/>
        <w:rPr>
          <w:sz w:val="20"/>
          <w:szCs w:val="20"/>
          <w:color w:val="auto"/>
        </w:rPr>
      </w:pPr>
      <w:r>
        <w:rPr>
          <w:rFonts w:ascii="Times New Roman" w:cs="Times New Roman" w:eastAsia="Times New Roman" w:hAnsi="Times New Roman"/>
          <w:sz w:val="19"/>
          <w:szCs w:val="19"/>
          <w:color w:val="auto"/>
        </w:rPr>
        <w:t>deems advisable to obtain approval or comply with any necessary local governmental regulatory exemptions or approvals or listing requirements of any such foreign securities exchange. Notwithstanding the foregoing, the</w:t>
      </w:r>
    </w:p>
    <w:p>
      <w:pPr>
        <w:spacing w:after="0" w:line="211" w:lineRule="auto"/>
        <w:rPr>
          <w:sz w:val="20"/>
          <w:szCs w:val="20"/>
          <w:color w:val="auto"/>
        </w:rPr>
      </w:pPr>
      <w:r>
        <w:rPr>
          <w:rFonts w:ascii="Times New Roman" w:cs="Times New Roman" w:eastAsia="Times New Roman" w:hAnsi="Times New Roman"/>
          <w:sz w:val="20"/>
          <w:szCs w:val="20"/>
          <w:color w:val="auto"/>
        </w:rPr>
        <w:t>Administrator may not take any actions hereunder, and no Awards shall be granted, that would violate Applicable</w:t>
      </w:r>
    </w:p>
    <w:p>
      <w:pPr>
        <w:ind w:right="180"/>
        <w:spacing w:after="0" w:line="204" w:lineRule="auto"/>
        <w:rPr>
          <w:sz w:val="20"/>
          <w:szCs w:val="20"/>
          <w:color w:val="auto"/>
        </w:rPr>
      </w:pPr>
      <w:r>
        <w:rPr>
          <w:rFonts w:ascii="Times New Roman" w:cs="Times New Roman" w:eastAsia="Times New Roman" w:hAnsi="Times New Roman"/>
          <w:sz w:val="20"/>
          <w:szCs w:val="20"/>
          <w:color w:val="auto"/>
        </w:rPr>
        <w:t>Law. For purposes of the Plan, all references to foreign laws, rules, regulations or taxes shall be references to the laws, rules, regulations and taxes of any applicable jurisdiction other than the United States or a political</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subdivision thereof.</w:t>
      </w:r>
    </w:p>
    <w:p>
      <w:pPr>
        <w:spacing w:after="0" w:line="148"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4.6</w:t>
      </w:r>
      <w:r>
        <w:rPr>
          <w:sz w:val="20"/>
          <w:szCs w:val="20"/>
          <w:color w:val="auto"/>
        </w:rPr>
        <w:tab/>
      </w:r>
      <w:r>
        <w:rPr>
          <w:rFonts w:ascii="Times New Roman" w:cs="Times New Roman" w:eastAsia="Times New Roman" w:hAnsi="Times New Roman"/>
          <w:sz w:val="19"/>
          <w:szCs w:val="19"/>
          <w:u w:val="single" w:color="auto"/>
          <w:color w:val="auto"/>
        </w:rPr>
        <w:t>Non-Employee Director Awards.</w:t>
      </w:r>
    </w:p>
    <w:p>
      <w:pPr>
        <w:spacing w:after="0" w:line="184" w:lineRule="exact"/>
        <w:rPr>
          <w:sz w:val="20"/>
          <w:szCs w:val="20"/>
          <w:color w:val="auto"/>
        </w:rPr>
      </w:pPr>
    </w:p>
    <w:p>
      <w:pPr>
        <w:ind w:right="60" w:firstLine="697"/>
        <w:spacing w:after="0" w:line="222" w:lineRule="auto"/>
        <w:rPr>
          <w:sz w:val="20"/>
          <w:szCs w:val="20"/>
          <w:color w:val="auto"/>
        </w:rPr>
      </w:pPr>
      <w:r>
        <w:rPr>
          <w:rFonts w:ascii="Times New Roman" w:cs="Times New Roman" w:eastAsia="Times New Roman" w:hAnsi="Times New Roman"/>
          <w:sz w:val="20"/>
          <w:szCs w:val="20"/>
          <w:color w:val="auto"/>
        </w:rPr>
        <w:t>The Administrator may, in its discretion, provide that Awards granted to Non-Employee Directors shall be granted pursuant to a written formula established by the Administrator (the “</w:t>
      </w:r>
      <w:r>
        <w:rPr>
          <w:rFonts w:ascii="Times New Roman" w:cs="Times New Roman" w:eastAsia="Times New Roman" w:hAnsi="Times New Roman"/>
          <w:sz w:val="20"/>
          <w:szCs w:val="20"/>
          <w:b w:val="1"/>
          <w:bCs w:val="1"/>
          <w:i w:val="1"/>
          <w:iCs w:val="1"/>
          <w:color w:val="auto"/>
        </w:rPr>
        <w:t>Non-Employee Director</w:t>
      </w:r>
    </w:p>
    <w:p>
      <w:pPr>
        <w:spacing w:after="0" w:line="2"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b w:val="1"/>
          <w:bCs w:val="1"/>
          <w:i w:val="1"/>
          <w:iCs w:val="1"/>
          <w:color w:val="auto"/>
        </w:rPr>
        <w:t>Compensation Policy</w:t>
      </w:r>
      <w:r>
        <w:rPr>
          <w:rFonts w:ascii="Times New Roman" w:cs="Times New Roman" w:eastAsia="Times New Roman" w:hAnsi="Times New Roman"/>
          <w:sz w:val="19"/>
          <w:szCs w:val="19"/>
          <w:color w:val="auto"/>
        </w:rPr>
        <w:t>”), subject to the limitations of the Plan. The Non-Employee Director Compensation Policy</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shall set forth the type of Award(s) to be granted to Non-Employee Directors, the number of Shares to be subject to</w:t>
      </w:r>
    </w:p>
    <w:p>
      <w:pPr>
        <w:spacing w:after="0" w:line="222" w:lineRule="auto"/>
        <w:rPr>
          <w:sz w:val="20"/>
          <w:szCs w:val="20"/>
          <w:color w:val="auto"/>
        </w:rPr>
      </w:pPr>
      <w:r>
        <w:rPr>
          <w:rFonts w:ascii="Times New Roman" w:cs="Times New Roman" w:eastAsia="Times New Roman" w:hAnsi="Times New Roman"/>
          <w:sz w:val="19"/>
          <w:szCs w:val="19"/>
          <w:color w:val="auto"/>
        </w:rPr>
        <w:t>Non-Employee Director Awards, the conditions on which such Awards shall be granted, become exercisable and/or</w:t>
      </w:r>
    </w:p>
    <w:p>
      <w:pPr>
        <w:ind w:right="60"/>
        <w:spacing w:after="0" w:line="204" w:lineRule="auto"/>
        <w:rPr>
          <w:sz w:val="20"/>
          <w:szCs w:val="20"/>
          <w:color w:val="auto"/>
        </w:rPr>
      </w:pPr>
      <w:r>
        <w:rPr>
          <w:rFonts w:ascii="Times New Roman" w:cs="Times New Roman" w:eastAsia="Times New Roman" w:hAnsi="Times New Roman"/>
          <w:sz w:val="20"/>
          <w:szCs w:val="20"/>
          <w:color w:val="auto"/>
        </w:rPr>
        <w:t>payable and expire, and such other terms and conditions as the Administrator shall determine in its discretion. The Non-Employee Director Compensation Policy may be modified by the Administrator from time to time in its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discretion.</w:t>
      </w:r>
    </w:p>
    <w:p>
      <w:pPr>
        <w:spacing w:after="0" w:line="162"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4.7</w:t>
      </w:r>
      <w:r>
        <w:rPr>
          <w:sz w:val="20"/>
          <w:szCs w:val="20"/>
          <w:color w:val="auto"/>
        </w:rPr>
        <w:tab/>
      </w:r>
      <w:r>
        <w:rPr>
          <w:rFonts w:ascii="Times New Roman" w:cs="Times New Roman" w:eastAsia="Times New Roman" w:hAnsi="Times New Roman"/>
          <w:sz w:val="19"/>
          <w:szCs w:val="19"/>
          <w:u w:val="single" w:color="auto"/>
          <w:color w:val="auto"/>
        </w:rPr>
        <w:t>Stand-Alone and Tandem Awards.</w:t>
      </w:r>
    </w:p>
    <w:p>
      <w:pPr>
        <w:spacing w:after="0" w:line="184" w:lineRule="exact"/>
        <w:rPr>
          <w:sz w:val="20"/>
          <w:szCs w:val="20"/>
          <w:color w:val="auto"/>
        </w:rPr>
      </w:pPr>
    </w:p>
    <w:p>
      <w:pPr>
        <w:ind w:right="120" w:firstLine="648"/>
        <w:spacing w:after="0" w:line="227" w:lineRule="auto"/>
        <w:rPr>
          <w:sz w:val="20"/>
          <w:szCs w:val="20"/>
          <w:color w:val="auto"/>
        </w:rPr>
      </w:pPr>
      <w:r>
        <w:rPr>
          <w:rFonts w:ascii="Times New Roman" w:cs="Times New Roman" w:eastAsia="Times New Roman" w:hAnsi="Times New Roman"/>
          <w:sz w:val="19"/>
          <w:szCs w:val="19"/>
          <w:color w:val="auto"/>
        </w:rPr>
        <w:t>Awards granted pursuant to the Plan may, in the sole discretion of the Administrator, be granted either alone, in addition to, or in tandem with, any other Award granted pursuant to the Plan. Awards granted in addition</w:t>
      </w:r>
    </w:p>
    <w:p>
      <w:pPr>
        <w:ind w:right="60"/>
        <w:spacing w:after="0" w:line="228" w:lineRule="auto"/>
        <w:rPr>
          <w:sz w:val="20"/>
          <w:szCs w:val="20"/>
          <w:color w:val="auto"/>
        </w:rPr>
      </w:pPr>
      <w:r>
        <w:rPr>
          <w:rFonts w:ascii="Times New Roman" w:cs="Times New Roman" w:eastAsia="Times New Roman" w:hAnsi="Times New Roman"/>
          <w:sz w:val="20"/>
          <w:szCs w:val="20"/>
          <w:color w:val="auto"/>
        </w:rPr>
        <w:t>to or in tandem with other Awards may be granted either at the same time as or at a different time from the grant of such other Awards.</w:t>
      </w:r>
    </w:p>
    <w:p>
      <w:pPr>
        <w:spacing w:after="0" w:line="14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2"/>
          <w:szCs w:val="22"/>
          <w:b w:val="1"/>
          <w:bCs w:val="1"/>
          <w:color w:val="auto"/>
        </w:rPr>
        <w:t>ARTICLE 5.</w:t>
      </w:r>
    </w:p>
    <w:p>
      <w:pPr>
        <w:spacing w:after="0" w:line="174"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20"/>
          <w:szCs w:val="20"/>
          <w:color w:val="auto"/>
        </w:rPr>
        <w:t>OPTIONS</w:t>
      </w:r>
    </w:p>
    <w:p>
      <w:pPr>
        <w:spacing w:after="0" w:line="170"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19"/>
          <w:szCs w:val="19"/>
          <w:u w:val="single" w:color="auto"/>
          <w:color w:val="auto"/>
        </w:rPr>
        <w:t>Granting of Options to Eligible Individuals.</w:t>
      </w:r>
    </w:p>
    <w:p>
      <w:pPr>
        <w:spacing w:after="0" w:line="184" w:lineRule="exact"/>
        <w:rPr>
          <w:sz w:val="20"/>
          <w:szCs w:val="20"/>
          <w:color w:val="auto"/>
        </w:rPr>
      </w:pPr>
    </w:p>
    <w:p>
      <w:pPr>
        <w:ind w:right="540" w:firstLine="648"/>
        <w:spacing w:after="0" w:line="266" w:lineRule="auto"/>
        <w:rPr>
          <w:sz w:val="20"/>
          <w:szCs w:val="20"/>
          <w:color w:val="auto"/>
        </w:rPr>
      </w:pPr>
      <w:r>
        <w:rPr>
          <w:rFonts w:ascii="Times New Roman" w:cs="Times New Roman" w:eastAsia="Times New Roman" w:hAnsi="Times New Roman"/>
          <w:sz w:val="19"/>
          <w:szCs w:val="19"/>
          <w:color w:val="auto"/>
        </w:rPr>
        <w:t>The Administrator is authorized to grant Options to Eligible Individuals from time to time, in its sole discretion, on such terms and conditions as it may determine which shall not be inconsistent with the Plan.</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5871845" cy="508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0"/>
          </w:cols>
          <w:pgMar w:left="1360" w:top="436" w:right="1379" w:bottom="1440" w:gutter="0" w:footer="0" w:header="0"/>
        </w:sectPr>
      </w:pPr>
    </w:p>
    <w:bookmarkStart w:id="19" w:name="page20"/>
    <w:bookmarkEnd w:id="19"/>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19"/>
          <w:szCs w:val="19"/>
          <w:u w:val="single" w:color="auto"/>
          <w:color w:val="auto"/>
        </w:rPr>
        <w:t>Option Exercise Price.</w:t>
      </w:r>
    </w:p>
    <w:p>
      <w:pPr>
        <w:spacing w:after="0" w:line="184" w:lineRule="exact"/>
        <w:rPr>
          <w:sz w:val="20"/>
          <w:szCs w:val="20"/>
          <w:color w:val="auto"/>
        </w:rPr>
      </w:pPr>
    </w:p>
    <w:p>
      <w:pPr>
        <w:ind w:right="60" w:firstLine="648"/>
        <w:spacing w:after="0" w:line="234" w:lineRule="auto"/>
        <w:rPr>
          <w:sz w:val="20"/>
          <w:szCs w:val="20"/>
          <w:color w:val="auto"/>
        </w:rPr>
      </w:pPr>
      <w:r>
        <w:rPr>
          <w:rFonts w:ascii="Times New Roman" w:cs="Times New Roman" w:eastAsia="Times New Roman" w:hAnsi="Times New Roman"/>
          <w:sz w:val="19"/>
          <w:szCs w:val="19"/>
          <w:color w:val="auto"/>
        </w:rPr>
        <w:t>The exercise price per Share subject to each Option shall be set by the Administrator, but shall not be less than 100% of the Fair Market Value of a Share on the date the Option is granted (or, as to Incentive Stock Options,</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on the date the Option is modified, extended or renewed for purposes of Section 424(h) of the Code). In addition, in the case of Incentive Stock Options granted to a Greater Than 10% Stockholder, such price shall not be less than</w:t>
      </w:r>
    </w:p>
    <w:p>
      <w:pPr>
        <w:ind w:right="380"/>
        <w:spacing w:after="0" w:line="228" w:lineRule="auto"/>
        <w:rPr>
          <w:sz w:val="20"/>
          <w:szCs w:val="20"/>
          <w:color w:val="auto"/>
        </w:rPr>
      </w:pPr>
      <w:r>
        <w:rPr>
          <w:rFonts w:ascii="Times New Roman" w:cs="Times New Roman" w:eastAsia="Times New Roman" w:hAnsi="Times New Roman"/>
          <w:sz w:val="20"/>
          <w:szCs w:val="20"/>
          <w:color w:val="auto"/>
        </w:rPr>
        <w:t>110% of the Fair Market Value of a Share on the date the Option is granted (or the date the Option is modified, extended or renewed for purposes of Section 424(h) of the Code).</w:t>
      </w:r>
    </w:p>
    <w:p>
      <w:pPr>
        <w:spacing w:after="0" w:line="14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19"/>
          <w:szCs w:val="19"/>
          <w:u w:val="single" w:color="auto"/>
          <w:color w:val="auto"/>
        </w:rPr>
        <w:t>Option Vesting.</w:t>
      </w:r>
    </w:p>
    <w:p>
      <w:pPr>
        <w:spacing w:after="0" w:line="184" w:lineRule="exact"/>
        <w:rPr>
          <w:sz w:val="20"/>
          <w:szCs w:val="20"/>
          <w:color w:val="auto"/>
        </w:rPr>
      </w:pPr>
    </w:p>
    <w:p>
      <w:pPr>
        <w:ind w:right="40" w:firstLine="1290"/>
        <w:spacing w:after="0" w:line="218" w:lineRule="auto"/>
        <w:tabs>
          <w:tab w:leader="none" w:pos="1997"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during which the right to exercise, in whole or in part, an Option vests in the Holder shall be set by the Administrator and the Administrator may determine that an Option may not be exercised in whole or in part for a specified period after it is granted. Such vesting may be based on service with the Company or any Subsidiary, any of the Performance Criteria, or any other criteria selected by the Administrator. At any time after grant of an Option, the Administrator may, in its sole discretion, and subject to whatever terms and conditions it selects, accelerate the period during which an Option vests.</w:t>
      </w:r>
    </w:p>
    <w:p>
      <w:pPr>
        <w:spacing w:after="0" w:line="150" w:lineRule="exact"/>
        <w:rPr>
          <w:rFonts w:ascii="Times New Roman" w:cs="Times New Roman" w:eastAsia="Times New Roman" w:hAnsi="Times New Roman"/>
          <w:sz w:val="20"/>
          <w:szCs w:val="20"/>
          <w:color w:val="auto"/>
        </w:rPr>
      </w:pPr>
    </w:p>
    <w:p>
      <w:pPr>
        <w:ind w:right="20" w:firstLine="1290"/>
        <w:spacing w:after="0" w:line="230" w:lineRule="auto"/>
        <w:tabs>
          <w:tab w:leader="none" w:pos="2008"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an Option which is unexercisable at a Holder’s Termination of Service shall thereafter become exercisable, except as may be otherwise provided by the Administrator either in the Award Agreement or by action of the Administrator following the grant of the Option.</w:t>
      </w:r>
    </w:p>
    <w:p>
      <w:pPr>
        <w:spacing w:after="0" w:line="14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19"/>
          <w:szCs w:val="19"/>
          <w:u w:val="single" w:color="auto"/>
          <w:color w:val="auto"/>
        </w:rPr>
        <w:t>Manner of Exercise.</w:t>
      </w:r>
    </w:p>
    <w:p>
      <w:pPr>
        <w:spacing w:after="0" w:line="184" w:lineRule="exact"/>
        <w:rPr>
          <w:sz w:val="20"/>
          <w:szCs w:val="20"/>
          <w:color w:val="auto"/>
        </w:rPr>
      </w:pPr>
    </w:p>
    <w:p>
      <w:pPr>
        <w:jc w:val="both"/>
        <w:ind w:right="40" w:firstLine="648"/>
        <w:spacing w:after="0" w:line="230" w:lineRule="auto"/>
        <w:rPr>
          <w:sz w:val="20"/>
          <w:szCs w:val="20"/>
          <w:color w:val="auto"/>
        </w:rPr>
      </w:pPr>
      <w:r>
        <w:rPr>
          <w:rFonts w:ascii="Times New Roman" w:cs="Times New Roman" w:eastAsia="Times New Roman" w:hAnsi="Times New Roman"/>
          <w:sz w:val="20"/>
          <w:szCs w:val="20"/>
          <w:color w:val="auto"/>
        </w:rPr>
        <w:t>All or a portion of an exercisable Option shall be deemed exercised upon delivery of all of the following to the stock administrator of the Company, or such other person or entity designated by the Administrator, or his, her or its office, as applicable:</w:t>
      </w:r>
    </w:p>
    <w:p>
      <w:pPr>
        <w:spacing w:after="0" w:line="149" w:lineRule="exact"/>
        <w:rPr>
          <w:sz w:val="20"/>
          <w:szCs w:val="20"/>
          <w:color w:val="auto"/>
        </w:rPr>
      </w:pPr>
    </w:p>
    <w:p>
      <w:pPr>
        <w:ind w:firstLine="1290"/>
        <w:spacing w:after="0" w:line="230" w:lineRule="auto"/>
        <w:tabs>
          <w:tab w:leader="none" w:pos="199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 electronic notice complying with the applicable rules established by the Administrator stating that the Option, or a portion thereof, is exercised. The notice shall be signed by the Holder or other person then entitled to exercise the Option or such portion of the Option;</w:t>
      </w:r>
    </w:p>
    <w:p>
      <w:pPr>
        <w:spacing w:after="0" w:line="148" w:lineRule="exact"/>
        <w:rPr>
          <w:rFonts w:ascii="Times New Roman" w:cs="Times New Roman" w:eastAsia="Times New Roman" w:hAnsi="Times New Roman"/>
          <w:sz w:val="20"/>
          <w:szCs w:val="20"/>
          <w:color w:val="auto"/>
        </w:rPr>
      </w:pPr>
    </w:p>
    <w:p>
      <w:pPr>
        <w:jc w:val="both"/>
        <w:ind w:right="120" w:firstLine="1290"/>
        <w:spacing w:after="0" w:line="222" w:lineRule="auto"/>
        <w:tabs>
          <w:tab w:leader="none" w:pos="200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including, without limitation, placing legends on share certificates and issuing stop-transfer notices to agents and registrars;</w:t>
      </w:r>
    </w:p>
    <w:p>
      <w:pPr>
        <w:spacing w:after="0" w:line="161" w:lineRule="exact"/>
        <w:rPr>
          <w:rFonts w:ascii="Times New Roman" w:cs="Times New Roman" w:eastAsia="Times New Roman" w:hAnsi="Times New Roman"/>
          <w:sz w:val="20"/>
          <w:szCs w:val="20"/>
          <w:color w:val="auto"/>
        </w:rPr>
      </w:pPr>
    </w:p>
    <w:p>
      <w:pPr>
        <w:ind w:right="260" w:firstLine="1290"/>
        <w:spacing w:after="0" w:line="230" w:lineRule="auto"/>
        <w:tabs>
          <w:tab w:leader="none" w:pos="1997"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Option shall be exercised by any person or persons other than the Holder, appropriate proof of the right of such person or persons to exercise the Option, as determined in the sole discretion of the Administrator; and</w:t>
      </w:r>
    </w:p>
    <w:p>
      <w:pPr>
        <w:spacing w:after="0" w:line="148" w:lineRule="exact"/>
        <w:rPr>
          <w:rFonts w:ascii="Times New Roman" w:cs="Times New Roman" w:eastAsia="Times New Roman" w:hAnsi="Times New Roman"/>
          <w:sz w:val="20"/>
          <w:szCs w:val="20"/>
          <w:color w:val="auto"/>
        </w:rPr>
      </w:pPr>
    </w:p>
    <w:p>
      <w:pPr>
        <w:ind w:right="60" w:firstLine="1290"/>
        <w:spacing w:after="0" w:line="230" w:lineRule="auto"/>
        <w:tabs>
          <w:tab w:leader="none" w:pos="2008"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payment of the exercise price and applicable withholding taxes to the stock administrator of the Company for the Shares with respect to which the Option, or portion thereof, is exercised, in a manner permitted by Section 10.1 and 10.2.</w:t>
      </w:r>
    </w:p>
    <w:p>
      <w:pPr>
        <w:spacing w:after="0" w:line="14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19"/>
          <w:szCs w:val="19"/>
          <w:u w:val="single" w:color="auto"/>
          <w:color w:val="auto"/>
        </w:rPr>
        <w:t>Partial Exercise.</w:t>
      </w:r>
    </w:p>
    <w:p>
      <w:pPr>
        <w:spacing w:after="0" w:line="184" w:lineRule="exact"/>
        <w:rPr>
          <w:sz w:val="20"/>
          <w:szCs w:val="20"/>
          <w:color w:val="auto"/>
        </w:rPr>
      </w:pPr>
    </w:p>
    <w:p>
      <w:pPr>
        <w:ind w:right="140" w:firstLine="648"/>
        <w:spacing w:after="0" w:line="244" w:lineRule="auto"/>
        <w:rPr>
          <w:sz w:val="20"/>
          <w:szCs w:val="20"/>
          <w:color w:val="auto"/>
        </w:rPr>
      </w:pPr>
      <w:r>
        <w:rPr>
          <w:rFonts w:ascii="Times New Roman" w:cs="Times New Roman" w:eastAsia="Times New Roman" w:hAnsi="Times New Roman"/>
          <w:sz w:val="19"/>
          <w:szCs w:val="19"/>
          <w:color w:val="auto"/>
        </w:rPr>
        <w:t>An exercisable Option may be exercised in whole or in part. However, an Option shall not be exercisable with respect to fractional Shares unless determined otherwise by the Administrator, and the Administrator may require that, by the terms of the Option, a partial exercise must be with respect to a minimum number of Shares.</w:t>
      </w:r>
    </w:p>
    <w:p>
      <w:pPr>
        <w:spacing w:after="0" w:line="1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301625</wp:posOffset>
            </wp:positionV>
            <wp:extent cx="5871845" cy="508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40"/>
          </w:cols>
          <w:pgMar w:left="1360" w:top="436" w:right="1399" w:bottom="1440" w:gutter="0" w:footer="0" w:header="0"/>
        </w:sectPr>
      </w:pPr>
    </w:p>
    <w:bookmarkStart w:id="20" w:name="page21"/>
    <w:bookmarkEnd w:id="20"/>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19"/>
          <w:szCs w:val="19"/>
          <w:u w:val="single" w:color="auto"/>
          <w:color w:val="auto"/>
        </w:rPr>
        <w:t>Option Term.</w:t>
      </w:r>
    </w:p>
    <w:p>
      <w:pPr>
        <w:spacing w:after="0" w:line="180" w:lineRule="exact"/>
        <w:rPr>
          <w:sz w:val="20"/>
          <w:szCs w:val="20"/>
          <w:color w:val="auto"/>
        </w:rPr>
      </w:pPr>
    </w:p>
    <w:p>
      <w:pPr>
        <w:ind w:right="80" w:firstLine="648"/>
        <w:spacing w:after="0" w:line="236" w:lineRule="auto"/>
        <w:rPr>
          <w:sz w:val="20"/>
          <w:szCs w:val="20"/>
          <w:color w:val="auto"/>
        </w:rPr>
      </w:pPr>
      <w:r>
        <w:rPr>
          <w:rFonts w:ascii="Times New Roman" w:cs="Times New Roman" w:eastAsia="Times New Roman" w:hAnsi="Times New Roman"/>
          <w:sz w:val="19"/>
          <w:szCs w:val="19"/>
          <w:color w:val="auto"/>
        </w:rPr>
        <w:t>The term of each Option (the “</w:t>
      </w:r>
      <w:r>
        <w:rPr>
          <w:rFonts w:ascii="Times New Roman" w:cs="Times New Roman" w:eastAsia="Times New Roman" w:hAnsi="Times New Roman"/>
          <w:sz w:val="19"/>
          <w:szCs w:val="19"/>
          <w:b w:val="1"/>
          <w:bCs w:val="1"/>
          <w:i w:val="1"/>
          <w:iCs w:val="1"/>
          <w:color w:val="auto"/>
        </w:rPr>
        <w:t>Option Term</w:t>
      </w:r>
      <w:r>
        <w:rPr>
          <w:rFonts w:ascii="Times New Roman" w:cs="Times New Roman" w:eastAsia="Times New Roman" w:hAnsi="Times New Roman"/>
          <w:sz w:val="19"/>
          <w:szCs w:val="19"/>
          <w:color w:val="auto"/>
        </w:rPr>
        <w:t xml:space="preserve">”) shall be set by the Administrator in its sole discretion;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Option Term shall not be more than ten (10) years from the date the Option is granted,</w:t>
      </w:r>
    </w:p>
    <w:p>
      <w:pPr>
        <w:spacing w:after="0" w:line="1" w:lineRule="exact"/>
        <w:rPr>
          <w:sz w:val="20"/>
          <w:szCs w:val="20"/>
          <w:color w:val="auto"/>
        </w:rPr>
      </w:pPr>
    </w:p>
    <w:p>
      <w:pPr>
        <w:spacing w:after="0" w:line="215" w:lineRule="auto"/>
        <w:rPr>
          <w:sz w:val="20"/>
          <w:szCs w:val="20"/>
          <w:color w:val="auto"/>
        </w:rPr>
      </w:pPr>
      <w:r>
        <w:rPr>
          <w:rFonts w:ascii="Times New Roman" w:cs="Times New Roman" w:eastAsia="Times New Roman" w:hAnsi="Times New Roman"/>
          <w:sz w:val="19"/>
          <w:szCs w:val="19"/>
          <w:color w:val="auto"/>
        </w:rPr>
        <w:t>or five (5) years from the date an Incentive Stock Option is granted to a Greater Than 10% Stockholder. The Administrator shall determine the time period, including the time period following a Termination of Service, during</w:t>
      </w:r>
    </w:p>
    <w:p>
      <w:pPr>
        <w:spacing w:after="0" w:line="211" w:lineRule="auto"/>
        <w:rPr>
          <w:sz w:val="20"/>
          <w:szCs w:val="20"/>
          <w:color w:val="auto"/>
        </w:rPr>
      </w:pPr>
      <w:r>
        <w:rPr>
          <w:rFonts w:ascii="Times New Roman" w:cs="Times New Roman" w:eastAsia="Times New Roman" w:hAnsi="Times New Roman"/>
          <w:sz w:val="20"/>
          <w:szCs w:val="20"/>
          <w:color w:val="auto"/>
        </w:rPr>
        <w:t>which the Holder has the right to exercise the vested Options, which time period may not extend beyond the last</w:t>
      </w:r>
    </w:p>
    <w:p>
      <w:pPr>
        <w:ind w:right="140"/>
        <w:spacing w:after="0" w:line="215" w:lineRule="auto"/>
        <w:rPr>
          <w:sz w:val="20"/>
          <w:szCs w:val="20"/>
          <w:color w:val="auto"/>
        </w:rPr>
      </w:pPr>
      <w:r>
        <w:rPr>
          <w:rFonts w:ascii="Times New Roman" w:cs="Times New Roman" w:eastAsia="Times New Roman" w:hAnsi="Times New Roman"/>
          <w:sz w:val="19"/>
          <w:szCs w:val="19"/>
          <w:color w:val="auto"/>
        </w:rPr>
        <w:t>day of the Option Term. Except as limited by the requirements of Section 409A or Section 422 of the Code and regulations and rulings thereunder, the Administrator may extend the Option Term of any outstanding Option, and</w:t>
      </w:r>
    </w:p>
    <w:p>
      <w:pPr>
        <w:spacing w:after="0" w:line="222" w:lineRule="auto"/>
        <w:rPr>
          <w:sz w:val="20"/>
          <w:szCs w:val="20"/>
          <w:color w:val="auto"/>
        </w:rPr>
      </w:pPr>
      <w:r>
        <w:rPr>
          <w:rFonts w:ascii="Times New Roman" w:cs="Times New Roman" w:eastAsia="Times New Roman" w:hAnsi="Times New Roman"/>
          <w:sz w:val="19"/>
          <w:szCs w:val="19"/>
          <w:color w:val="auto"/>
        </w:rPr>
        <w:t>may extend the time period during which vested Options may be exercised, in connection with any Termination of</w:t>
      </w:r>
    </w:p>
    <w:p>
      <w:pPr>
        <w:ind w:right="60"/>
        <w:spacing w:after="0" w:line="221" w:lineRule="auto"/>
        <w:rPr>
          <w:sz w:val="20"/>
          <w:szCs w:val="20"/>
          <w:color w:val="auto"/>
        </w:rPr>
      </w:pPr>
      <w:r>
        <w:rPr>
          <w:rFonts w:ascii="Times New Roman" w:cs="Times New Roman" w:eastAsia="Times New Roman" w:hAnsi="Times New Roman"/>
          <w:sz w:val="20"/>
          <w:szCs w:val="20"/>
          <w:color w:val="auto"/>
        </w:rPr>
        <w:t>Service of the Holder, and may amend any other term or condition of such Option relating to such a Termination of Service.</w:t>
      </w:r>
    </w:p>
    <w:p>
      <w:pPr>
        <w:spacing w:after="0" w:line="157"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19"/>
          <w:szCs w:val="19"/>
          <w:u w:val="single" w:color="auto"/>
          <w:color w:val="auto"/>
        </w:rPr>
        <w:t>Qualification of Incentive Stock Options.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No Incentive Stock Option shall be granted to any person who is not an Employee of the Company or any</w:t>
      </w:r>
    </w:p>
    <w:p>
      <w:pPr>
        <w:ind w:right="280"/>
        <w:spacing w:after="0" w:line="215" w:lineRule="auto"/>
        <w:rPr>
          <w:sz w:val="20"/>
          <w:szCs w:val="20"/>
          <w:color w:val="auto"/>
        </w:rPr>
      </w:pPr>
      <w:r>
        <w:rPr>
          <w:rFonts w:ascii="Times New Roman" w:cs="Times New Roman" w:eastAsia="Times New Roman" w:hAnsi="Times New Roman"/>
          <w:sz w:val="19"/>
          <w:szCs w:val="19"/>
          <w:color w:val="auto"/>
        </w:rPr>
        <w:t>subsidiary corporation (as defined in Section 424(f) of the Code) of the Company. No person who qualifies as a Greater Than 10% Stockholder may be granted an Incentive Stock Option unless such Incentive Stock Option</w:t>
      </w:r>
    </w:p>
    <w:p>
      <w:pPr>
        <w:spacing w:after="0" w:line="211" w:lineRule="auto"/>
        <w:rPr>
          <w:sz w:val="20"/>
          <w:szCs w:val="20"/>
          <w:color w:val="auto"/>
        </w:rPr>
      </w:pPr>
      <w:r>
        <w:rPr>
          <w:rFonts w:ascii="Times New Roman" w:cs="Times New Roman" w:eastAsia="Times New Roman" w:hAnsi="Times New Roman"/>
          <w:sz w:val="20"/>
          <w:szCs w:val="20"/>
          <w:color w:val="auto"/>
        </w:rPr>
        <w:t>conforms to the applicable provisions of Section 422 of the Code. Any Incentive Stock Option granted under the</w:t>
      </w:r>
    </w:p>
    <w:p>
      <w:pPr>
        <w:ind w:right="540"/>
        <w:spacing w:after="0" w:line="215" w:lineRule="auto"/>
        <w:rPr>
          <w:sz w:val="20"/>
          <w:szCs w:val="20"/>
          <w:color w:val="auto"/>
        </w:rPr>
      </w:pPr>
      <w:r>
        <w:rPr>
          <w:rFonts w:ascii="Times New Roman" w:cs="Times New Roman" w:eastAsia="Times New Roman" w:hAnsi="Times New Roman"/>
          <w:sz w:val="19"/>
          <w:szCs w:val="19"/>
          <w:color w:val="auto"/>
        </w:rPr>
        <w:t>Plan may be modified by the Administrator, with the consent of the Holder, to disqualify such Option from treatment as an “incentive stock option” under Section 422 of the Code. To the extent that the aggregate Fair</w:t>
      </w:r>
    </w:p>
    <w:p>
      <w:pPr>
        <w:ind w:right="260"/>
        <w:spacing w:after="0" w:line="215" w:lineRule="auto"/>
        <w:rPr>
          <w:sz w:val="20"/>
          <w:szCs w:val="20"/>
          <w:color w:val="auto"/>
        </w:rPr>
      </w:pPr>
      <w:r>
        <w:rPr>
          <w:rFonts w:ascii="Times New Roman" w:cs="Times New Roman" w:eastAsia="Times New Roman" w:hAnsi="Times New Roman"/>
          <w:sz w:val="19"/>
          <w:szCs w:val="19"/>
          <w:color w:val="auto"/>
        </w:rPr>
        <w:t>Market Value of stock with respect to which “incentive stock options” (within the meaning of Section 422 of the Code, but without regard to Section 422(d) of the Code) are exercisable for the first time by a Holder during any</w:t>
      </w:r>
    </w:p>
    <w:p>
      <w:pPr>
        <w:spacing w:after="0" w:line="211" w:lineRule="auto"/>
        <w:rPr>
          <w:sz w:val="20"/>
          <w:szCs w:val="20"/>
          <w:color w:val="auto"/>
        </w:rPr>
      </w:pPr>
      <w:r>
        <w:rPr>
          <w:rFonts w:ascii="Times New Roman" w:cs="Times New Roman" w:eastAsia="Times New Roman" w:hAnsi="Times New Roman"/>
          <w:sz w:val="20"/>
          <w:szCs w:val="20"/>
          <w:color w:val="auto"/>
        </w:rPr>
        <w:t>calendar year under the Plan, and all other plans of the Company and any subsidiary or parent corporation thereof</w:t>
      </w:r>
    </w:p>
    <w:p>
      <w:pPr>
        <w:ind w:right="20"/>
        <w:spacing w:after="0" w:line="204" w:lineRule="auto"/>
        <w:rPr>
          <w:sz w:val="20"/>
          <w:szCs w:val="20"/>
          <w:color w:val="auto"/>
        </w:rPr>
      </w:pPr>
      <w:r>
        <w:rPr>
          <w:rFonts w:ascii="Times New Roman" w:cs="Times New Roman" w:eastAsia="Times New Roman" w:hAnsi="Times New Roman"/>
          <w:sz w:val="20"/>
          <w:szCs w:val="20"/>
          <w:color w:val="auto"/>
        </w:rPr>
        <w:t>(each as defined in Section 424(f) and (e) of the Code, respectively), exceeds $100,000, the Options shall be treated as Non-Qualified Stock Options to the extent required by Section 422 of the Code. The rule set forth in the</w:t>
      </w:r>
    </w:p>
    <w:p>
      <w:pPr>
        <w:spacing w:after="0" w:line="223" w:lineRule="auto"/>
        <w:rPr>
          <w:sz w:val="20"/>
          <w:szCs w:val="20"/>
          <w:color w:val="auto"/>
        </w:rPr>
      </w:pPr>
      <w:r>
        <w:rPr>
          <w:rFonts w:ascii="Times New Roman" w:cs="Times New Roman" w:eastAsia="Times New Roman" w:hAnsi="Times New Roman"/>
          <w:sz w:val="19"/>
          <w:szCs w:val="19"/>
          <w:color w:val="auto"/>
        </w:rPr>
        <w:t>preceding sentence shall be applied by taking Options and other “incentive stock options” into account in the order</w:t>
      </w:r>
    </w:p>
    <w:p>
      <w:pPr>
        <w:ind w:right="360"/>
        <w:spacing w:after="0" w:line="221" w:lineRule="auto"/>
        <w:rPr>
          <w:sz w:val="20"/>
          <w:szCs w:val="20"/>
          <w:color w:val="auto"/>
        </w:rPr>
      </w:pPr>
      <w:r>
        <w:rPr>
          <w:rFonts w:ascii="Times New Roman" w:cs="Times New Roman" w:eastAsia="Times New Roman" w:hAnsi="Times New Roman"/>
          <w:sz w:val="20"/>
          <w:szCs w:val="20"/>
          <w:color w:val="auto"/>
        </w:rPr>
        <w:t>in which they were granted and the Fair Market Value of stock shall be determined as of the time the respective Options were granted.</w:t>
      </w:r>
    </w:p>
    <w:p>
      <w:pPr>
        <w:spacing w:after="0" w:line="157"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5.8</w:t>
      </w:r>
      <w:r>
        <w:rPr>
          <w:sz w:val="20"/>
          <w:szCs w:val="20"/>
          <w:color w:val="auto"/>
        </w:rPr>
        <w:tab/>
      </w:r>
      <w:r>
        <w:rPr>
          <w:rFonts w:ascii="Times New Roman" w:cs="Times New Roman" w:eastAsia="Times New Roman" w:hAnsi="Times New Roman"/>
          <w:sz w:val="19"/>
          <w:szCs w:val="19"/>
          <w:u w:val="single" w:color="auto"/>
          <w:color w:val="auto"/>
        </w:rPr>
        <w:t>Notification Regarding Disposition.</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The Holder shall give the Company prompt written or electronic notice of any disposition of Shares</w:t>
      </w:r>
    </w:p>
    <w:p>
      <w:pPr>
        <w:ind w:right="180"/>
        <w:spacing w:after="0" w:line="215" w:lineRule="auto"/>
        <w:rPr>
          <w:sz w:val="20"/>
          <w:szCs w:val="20"/>
          <w:color w:val="auto"/>
        </w:rPr>
      </w:pPr>
      <w:r>
        <w:rPr>
          <w:rFonts w:ascii="Times New Roman" w:cs="Times New Roman" w:eastAsia="Times New Roman" w:hAnsi="Times New Roman"/>
          <w:sz w:val="19"/>
          <w:szCs w:val="19"/>
          <w:color w:val="auto"/>
        </w:rPr>
        <w:t>acquired by exercise of an Incentive Stock Option which occurs within (a) two years from the date of granting (including the date the Option is modified, extended or renewed for purposes of Section 424(h) of the Code) such</w:t>
      </w:r>
    </w:p>
    <w:p>
      <w:pPr>
        <w:spacing w:after="0"/>
        <w:rPr>
          <w:sz w:val="20"/>
          <w:szCs w:val="20"/>
          <w:color w:val="auto"/>
        </w:rPr>
      </w:pPr>
      <w:r>
        <w:rPr>
          <w:rFonts w:ascii="Times New Roman" w:cs="Times New Roman" w:eastAsia="Times New Roman" w:hAnsi="Times New Roman"/>
          <w:sz w:val="20"/>
          <w:szCs w:val="20"/>
          <w:color w:val="auto"/>
        </w:rPr>
        <w:t>Option to such Holder, or (b) one year after the transfer of such Shares to such Holder.</w:t>
      </w:r>
    </w:p>
    <w:p>
      <w:pPr>
        <w:spacing w:after="0" w:line="162"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5.9</w:t>
      </w:r>
      <w:r>
        <w:rPr>
          <w:sz w:val="20"/>
          <w:szCs w:val="20"/>
          <w:color w:val="auto"/>
        </w:rPr>
        <w:tab/>
      </w:r>
      <w:r>
        <w:rPr>
          <w:rFonts w:ascii="Times New Roman" w:cs="Times New Roman" w:eastAsia="Times New Roman" w:hAnsi="Times New Roman"/>
          <w:sz w:val="19"/>
          <w:szCs w:val="19"/>
          <w:u w:val="single" w:color="auto"/>
          <w:color w:val="auto"/>
        </w:rPr>
        <w:t>Substitute Awards.</w:t>
      </w:r>
    </w:p>
    <w:p>
      <w:pPr>
        <w:spacing w:after="0" w:line="184" w:lineRule="exact"/>
        <w:rPr>
          <w:sz w:val="20"/>
          <w:szCs w:val="20"/>
          <w:color w:val="auto"/>
        </w:rPr>
      </w:pPr>
    </w:p>
    <w:p>
      <w:pPr>
        <w:ind w:right="80" w:firstLine="648"/>
        <w:spacing w:after="0" w:line="227" w:lineRule="auto"/>
        <w:rPr>
          <w:sz w:val="20"/>
          <w:szCs w:val="20"/>
          <w:color w:val="auto"/>
        </w:rPr>
      </w:pPr>
      <w:r>
        <w:rPr>
          <w:rFonts w:ascii="Times New Roman" w:cs="Times New Roman" w:eastAsia="Times New Roman" w:hAnsi="Times New Roman"/>
          <w:sz w:val="19"/>
          <w:szCs w:val="19"/>
          <w:color w:val="auto"/>
        </w:rPr>
        <w:t>Notwithstanding the foregoing provisions of this Article 5 to the contrary, in the case of an Option that is a Substitute Award, the price per share of the Shares subject to such Option may be less than the Fair Market Value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per share on the date of grant;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excess of: (a) the aggregate Fair Market Value (as of the date such</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Substitute Award is granted) of the Shares subject to the Substitute Award, over (b) the aggregate exercise price thereof does not exceed the excess of: (x) the aggregate fair market value (as of the time immediately preceding the</w:t>
      </w:r>
    </w:p>
    <w:p>
      <w:pPr>
        <w:spacing w:after="0" w:line="222" w:lineRule="auto"/>
        <w:rPr>
          <w:sz w:val="20"/>
          <w:szCs w:val="20"/>
          <w:color w:val="auto"/>
        </w:rPr>
      </w:pPr>
      <w:r>
        <w:rPr>
          <w:rFonts w:ascii="Times New Roman" w:cs="Times New Roman" w:eastAsia="Times New Roman" w:hAnsi="Times New Roman"/>
          <w:sz w:val="19"/>
          <w:szCs w:val="19"/>
          <w:color w:val="auto"/>
        </w:rPr>
        <w:t>transaction giving rise to the Substitute Award, such fair market value to be determined by the Administrator) of the</w:t>
      </w:r>
    </w:p>
    <w:p>
      <w:pPr>
        <w:spacing w:after="0" w:line="197" w:lineRule="auto"/>
        <w:rPr>
          <w:sz w:val="20"/>
          <w:szCs w:val="20"/>
          <w:color w:val="auto"/>
        </w:rPr>
      </w:pPr>
      <w:r>
        <w:rPr>
          <w:rFonts w:ascii="Times New Roman" w:cs="Times New Roman" w:eastAsia="Times New Roman" w:hAnsi="Times New Roman"/>
          <w:sz w:val="20"/>
          <w:szCs w:val="20"/>
          <w:color w:val="auto"/>
        </w:rPr>
        <w:t>shares of the predecessor entity that were subject to the grant assumed or substituted for by the Company, over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 the aggregate exercise price of such shares.</w:t>
      </w:r>
    </w:p>
    <w:p>
      <w:pPr>
        <w:spacing w:after="0" w:line="162"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5.10</w:t>
      </w:r>
      <w:r>
        <w:rPr>
          <w:sz w:val="20"/>
          <w:szCs w:val="20"/>
          <w:color w:val="auto"/>
        </w:rPr>
        <w:tab/>
      </w:r>
      <w:r>
        <w:rPr>
          <w:rFonts w:ascii="Times New Roman" w:cs="Times New Roman" w:eastAsia="Times New Roman" w:hAnsi="Times New Roman"/>
          <w:sz w:val="19"/>
          <w:szCs w:val="19"/>
          <w:u w:val="single" w:color="auto"/>
          <w:color w:val="auto"/>
        </w:rPr>
        <w:t>Modification, Extension or Renewal.</w:t>
      </w:r>
    </w:p>
    <w:p>
      <w:pPr>
        <w:spacing w:after="0" w:line="184" w:lineRule="exact"/>
        <w:rPr>
          <w:sz w:val="20"/>
          <w:szCs w:val="20"/>
          <w:color w:val="auto"/>
        </w:rPr>
      </w:pPr>
    </w:p>
    <w:p>
      <w:pPr>
        <w:ind w:right="80" w:firstLine="697"/>
        <w:spacing w:after="0"/>
        <w:rPr>
          <w:sz w:val="20"/>
          <w:szCs w:val="20"/>
          <w:color w:val="auto"/>
        </w:rPr>
      </w:pPr>
      <w:r>
        <w:rPr>
          <w:rFonts w:ascii="Times New Roman" w:cs="Times New Roman" w:eastAsia="Times New Roman" w:hAnsi="Times New Roman"/>
          <w:sz w:val="20"/>
          <w:szCs w:val="20"/>
          <w:color w:val="auto"/>
        </w:rPr>
        <w:t>The Committee may modify, extend or renew outstanding Options and authorize the grant of new Options in substitution therefor, provided that any such action may not, without the written consent of a</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301625</wp:posOffset>
            </wp:positionV>
            <wp:extent cx="5871845" cy="508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0"/>
          </w:cols>
          <w:pgMar w:left="1360" w:top="436" w:right="1379" w:bottom="1440" w:gutter="0" w:footer="0" w:header="0"/>
        </w:sectPr>
      </w:pPr>
    </w:p>
    <w:bookmarkStart w:id="21" w:name="page22"/>
    <w:bookmarkEnd w:id="21"/>
    <w:p>
      <w:pPr>
        <w:ind w:right="120"/>
        <w:spacing w:after="0" w:line="234" w:lineRule="auto"/>
        <w:rPr>
          <w:sz w:val="20"/>
          <w:szCs w:val="20"/>
          <w:color w:val="auto"/>
        </w:rPr>
      </w:pPr>
      <w:r>
        <w:rPr>
          <w:rFonts w:ascii="Times New Roman" w:cs="Times New Roman" w:eastAsia="Times New Roman" w:hAnsi="Times New Roman"/>
          <w:sz w:val="19"/>
          <w:szCs w:val="19"/>
          <w:color w:val="auto"/>
        </w:rPr>
        <w:t>Participant, impair any of such Participant’s rights under any Option previously granted. Any outstanding Incentive Stock Option that is modified, extended, renewed or otherwise altered will be treated in accordance with</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 xml:space="preserve">Section 424(h) of the Code. By written notice to affected Holders, the Committee may reduce the Exercise Price of outstanding Options without the consent of such Holders;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Exercise Price may not be</w:t>
      </w:r>
    </w:p>
    <w:p>
      <w:pPr>
        <w:spacing w:after="0"/>
        <w:rPr>
          <w:sz w:val="20"/>
          <w:szCs w:val="20"/>
          <w:color w:val="auto"/>
        </w:rPr>
      </w:pPr>
      <w:r>
        <w:rPr>
          <w:rFonts w:ascii="Times New Roman" w:cs="Times New Roman" w:eastAsia="Times New Roman" w:hAnsi="Times New Roman"/>
          <w:sz w:val="20"/>
          <w:szCs w:val="20"/>
          <w:color w:val="auto"/>
        </w:rPr>
        <w:t>reduced below the Fair Market Value on the date the action is taken to reduce the Exercise Price.</w:t>
      </w:r>
    </w:p>
    <w:p>
      <w:pPr>
        <w:spacing w:after="0" w:line="162"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5.11</w:t>
      </w:r>
      <w:r>
        <w:rPr>
          <w:sz w:val="20"/>
          <w:szCs w:val="20"/>
          <w:color w:val="auto"/>
        </w:rPr>
        <w:tab/>
      </w:r>
      <w:r>
        <w:rPr>
          <w:rFonts w:ascii="Times New Roman" w:cs="Times New Roman" w:eastAsia="Times New Roman" w:hAnsi="Times New Roman"/>
          <w:sz w:val="19"/>
          <w:szCs w:val="19"/>
          <w:u w:val="single" w:color="auto"/>
          <w:color w:val="auto"/>
        </w:rPr>
        <w:t>No Disqualification.</w:t>
      </w:r>
    </w:p>
    <w:p>
      <w:pPr>
        <w:spacing w:after="0" w:line="184"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9"/>
          <w:szCs w:val="19"/>
          <w:color w:val="auto"/>
        </w:rPr>
        <w:t>Notwithstanding any other provision in this Plan, no term of this Plan relating to Incentive Stock Options will be interpreted, amended or altered, nor will any discretion or authority granted under this Plan be exercised, so</w:t>
      </w:r>
    </w:p>
    <w:p>
      <w:pPr>
        <w:ind w:right="20"/>
        <w:spacing w:after="0" w:line="228" w:lineRule="auto"/>
        <w:rPr>
          <w:sz w:val="20"/>
          <w:szCs w:val="20"/>
          <w:color w:val="auto"/>
        </w:rPr>
      </w:pPr>
      <w:r>
        <w:rPr>
          <w:rFonts w:ascii="Times New Roman" w:cs="Times New Roman" w:eastAsia="Times New Roman" w:hAnsi="Times New Roman"/>
          <w:sz w:val="20"/>
          <w:szCs w:val="20"/>
          <w:color w:val="auto"/>
        </w:rPr>
        <w:t>as to disqualify this Plan under Section 422 of the Code or, without the consent of the Holder affected, to disqualify any Incentive Stock Option under Section 422 of the Code.</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6.</w:t>
      </w:r>
    </w:p>
    <w:p>
      <w:pPr>
        <w:spacing w:after="0" w:line="174"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20"/>
          <w:szCs w:val="20"/>
          <w:color w:val="auto"/>
        </w:rPr>
        <w:t>RESTRICTED STOCK</w:t>
      </w:r>
    </w:p>
    <w:p>
      <w:pPr>
        <w:spacing w:after="0" w:line="170"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6.1</w:t>
      </w:r>
      <w:r>
        <w:rPr>
          <w:sz w:val="20"/>
          <w:szCs w:val="20"/>
          <w:color w:val="auto"/>
        </w:rPr>
        <w:tab/>
      </w:r>
      <w:r>
        <w:rPr>
          <w:rFonts w:ascii="Times New Roman" w:cs="Times New Roman" w:eastAsia="Times New Roman" w:hAnsi="Times New Roman"/>
          <w:sz w:val="19"/>
          <w:szCs w:val="19"/>
          <w:u w:val="single" w:color="auto"/>
          <w:color w:val="auto"/>
        </w:rPr>
        <w:t>Award of Restricted Stock.</w:t>
      </w:r>
    </w:p>
    <w:p>
      <w:pPr>
        <w:spacing w:after="0" w:line="184" w:lineRule="exact"/>
        <w:rPr>
          <w:sz w:val="20"/>
          <w:szCs w:val="20"/>
          <w:color w:val="auto"/>
        </w:rPr>
      </w:pPr>
    </w:p>
    <w:p>
      <w:pPr>
        <w:ind w:firstLine="1290"/>
        <w:spacing w:after="0" w:line="222" w:lineRule="auto"/>
        <w:tabs>
          <w:tab w:leader="none" w:pos="1997"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Restricted Stock to Eligible Individuals, and shall determine the terms and conditions, including the restrictions applicable to each award of Restricted Stock, which terms and conditions shall not be inconsistent with the Plan, and may impose such conditions on the issuance of such Restricted Stock as it deems appropriate.</w:t>
      </w:r>
    </w:p>
    <w:p>
      <w:pPr>
        <w:spacing w:after="0" w:line="161" w:lineRule="exact"/>
        <w:rPr>
          <w:rFonts w:ascii="Times New Roman" w:cs="Times New Roman" w:eastAsia="Times New Roman" w:hAnsi="Times New Roman"/>
          <w:sz w:val="20"/>
          <w:szCs w:val="20"/>
          <w:color w:val="auto"/>
        </w:rPr>
      </w:pPr>
    </w:p>
    <w:p>
      <w:pPr>
        <w:ind w:right="20" w:firstLine="1290"/>
        <w:spacing w:after="0" w:line="220" w:lineRule="auto"/>
        <w:tabs>
          <w:tab w:leader="none" w:pos="2008"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Administrator shall establish the purchase price, if any, and form of payment for Restricted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if a purchase price is charged, such purchase price shall be no less than the par value, if any, of the Shares to be purchased, unless otherwise permitted by Applicable Law. The purchase price per Share may, however, be less than the Fair Market Value. In all cases, legal consideration shall be required for each issuance of Restricted Stock.</w:t>
      </w:r>
    </w:p>
    <w:p>
      <w:pPr>
        <w:spacing w:after="0" w:line="143"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6.2</w:t>
      </w:r>
      <w:r>
        <w:rPr>
          <w:sz w:val="20"/>
          <w:szCs w:val="20"/>
          <w:color w:val="auto"/>
        </w:rPr>
        <w:tab/>
      </w:r>
      <w:r>
        <w:rPr>
          <w:rFonts w:ascii="Times New Roman" w:cs="Times New Roman" w:eastAsia="Times New Roman" w:hAnsi="Times New Roman"/>
          <w:sz w:val="19"/>
          <w:szCs w:val="19"/>
          <w:u w:val="single" w:color="auto"/>
          <w:color w:val="auto"/>
        </w:rPr>
        <w:t>Rights as Stockholders.</w:t>
      </w:r>
    </w:p>
    <w:p>
      <w:pPr>
        <w:spacing w:after="0" w:line="184" w:lineRule="exact"/>
        <w:rPr>
          <w:sz w:val="20"/>
          <w:szCs w:val="20"/>
          <w:color w:val="auto"/>
        </w:rPr>
      </w:pPr>
    </w:p>
    <w:p>
      <w:pPr>
        <w:ind w:firstLine="697"/>
        <w:spacing w:after="0" w:line="234" w:lineRule="auto"/>
        <w:rPr>
          <w:sz w:val="20"/>
          <w:szCs w:val="20"/>
          <w:color w:val="auto"/>
        </w:rPr>
      </w:pPr>
      <w:r>
        <w:rPr>
          <w:rFonts w:ascii="Times New Roman" w:cs="Times New Roman" w:eastAsia="Times New Roman" w:hAnsi="Times New Roman"/>
          <w:sz w:val="19"/>
          <w:szCs w:val="19"/>
          <w:color w:val="auto"/>
        </w:rPr>
        <w:t>Subject to Section 6.4, upon issuance of Restricted Stock, the Holder shall have, unless otherwise provided by the Administrator, all the rights of a stockholder with respect to said Shares, subject to the restrictions in each</w:t>
      </w:r>
    </w:p>
    <w:p>
      <w:pPr>
        <w:spacing w:after="0" w:line="1" w:lineRule="exact"/>
        <w:rPr>
          <w:sz w:val="20"/>
          <w:szCs w:val="20"/>
          <w:color w:val="auto"/>
        </w:rPr>
      </w:pPr>
    </w:p>
    <w:p>
      <w:pPr>
        <w:ind w:right="100"/>
        <w:spacing w:after="0" w:line="204" w:lineRule="auto"/>
        <w:rPr>
          <w:sz w:val="20"/>
          <w:szCs w:val="20"/>
          <w:color w:val="auto"/>
        </w:rPr>
      </w:pPr>
      <w:r>
        <w:rPr>
          <w:rFonts w:ascii="Times New Roman" w:cs="Times New Roman" w:eastAsia="Times New Roman" w:hAnsi="Times New Roman"/>
          <w:sz w:val="20"/>
          <w:szCs w:val="20"/>
          <w:color w:val="auto"/>
        </w:rPr>
        <w:t xml:space="preserve">individual Award Agreement, including the right to receive all dividends and other distributions paid or made with respect to the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the sole discretion of the Administrator, any extraordinary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distributions with respect to the Shares shall be subject to the restrictions set forth in Section 6.3.</w:t>
      </w:r>
    </w:p>
    <w:p>
      <w:pPr>
        <w:spacing w:after="0" w:line="162"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6.3</w:t>
      </w:r>
      <w:r>
        <w:rPr>
          <w:sz w:val="20"/>
          <w:szCs w:val="20"/>
          <w:color w:val="auto"/>
        </w:rPr>
        <w:tab/>
      </w:r>
      <w:r>
        <w:rPr>
          <w:rFonts w:ascii="Times New Roman" w:cs="Times New Roman" w:eastAsia="Times New Roman" w:hAnsi="Times New Roman"/>
          <w:sz w:val="19"/>
          <w:szCs w:val="19"/>
          <w:u w:val="single" w:color="auto"/>
          <w:color w:val="auto"/>
        </w:rPr>
        <w:t>Restrictions.</w:t>
      </w:r>
    </w:p>
    <w:p>
      <w:pPr>
        <w:spacing w:after="0" w:line="184" w:lineRule="exact"/>
        <w:rPr>
          <w:sz w:val="20"/>
          <w:szCs w:val="20"/>
          <w:color w:val="auto"/>
        </w:rPr>
      </w:pPr>
    </w:p>
    <w:p>
      <w:pPr>
        <w:ind w:right="100" w:firstLine="697"/>
        <w:spacing w:after="0" w:line="227" w:lineRule="auto"/>
        <w:rPr>
          <w:sz w:val="20"/>
          <w:szCs w:val="20"/>
          <w:color w:val="auto"/>
        </w:rPr>
      </w:pPr>
      <w:r>
        <w:rPr>
          <w:rFonts w:ascii="Times New Roman" w:cs="Times New Roman" w:eastAsia="Times New Roman" w:hAnsi="Times New Roman"/>
          <w:sz w:val="19"/>
          <w:szCs w:val="19"/>
          <w:color w:val="auto"/>
        </w:rPr>
        <w:t>All shares of Restricted Stock (including any shares received by Holders thereof with respect to shares of Restricted Stock as a result of stock dividends, stock splits or any other form of recapitalization) shall, in the terms</w:t>
      </w:r>
    </w:p>
    <w:p>
      <w:pPr>
        <w:spacing w:after="0" w:line="215" w:lineRule="auto"/>
        <w:rPr>
          <w:sz w:val="20"/>
          <w:szCs w:val="20"/>
          <w:color w:val="auto"/>
        </w:rPr>
      </w:pPr>
      <w:r>
        <w:rPr>
          <w:rFonts w:ascii="Times New Roman" w:cs="Times New Roman" w:eastAsia="Times New Roman" w:hAnsi="Times New Roman"/>
          <w:sz w:val="19"/>
          <w:szCs w:val="19"/>
          <w:color w:val="auto"/>
        </w:rPr>
        <w:t>of each individual Award Agreement, be subject to such restrictions, including without limitation risks of forfeiture, and vesting requirements as the Administrator shall provide. Such restrictions may include, without limitation,</w:t>
      </w:r>
    </w:p>
    <w:p>
      <w:pPr>
        <w:spacing w:after="0" w:line="211" w:lineRule="auto"/>
        <w:rPr>
          <w:sz w:val="20"/>
          <w:szCs w:val="20"/>
          <w:color w:val="auto"/>
        </w:rPr>
      </w:pPr>
      <w:r>
        <w:rPr>
          <w:rFonts w:ascii="Times New Roman" w:cs="Times New Roman" w:eastAsia="Times New Roman" w:hAnsi="Times New Roman"/>
          <w:sz w:val="20"/>
          <w:szCs w:val="20"/>
          <w:color w:val="auto"/>
        </w:rPr>
        <w:t>restrictions concerning voting rights and transferability and such restrictions may lapse separately or in</w:t>
      </w:r>
    </w:p>
    <w:p>
      <w:pPr>
        <w:ind w:right="40"/>
        <w:spacing w:after="0" w:line="215" w:lineRule="auto"/>
        <w:rPr>
          <w:sz w:val="20"/>
          <w:szCs w:val="20"/>
          <w:color w:val="auto"/>
        </w:rPr>
      </w:pPr>
      <w:r>
        <w:rPr>
          <w:rFonts w:ascii="Times New Roman" w:cs="Times New Roman" w:eastAsia="Times New Roman" w:hAnsi="Times New Roman"/>
          <w:sz w:val="19"/>
          <w:szCs w:val="19"/>
          <w:color w:val="auto"/>
        </w:rPr>
        <w:t>combination at such times and pursuant to such circumstances or based on such criteria as selected by the Administrator, including, without limitation, criteria based on the Holder’s duration of employment, directorship or</w:t>
      </w:r>
    </w:p>
    <w:p>
      <w:pPr>
        <w:spacing w:after="0" w:line="211" w:lineRule="auto"/>
        <w:rPr>
          <w:sz w:val="20"/>
          <w:szCs w:val="20"/>
          <w:color w:val="auto"/>
        </w:rPr>
      </w:pPr>
      <w:r>
        <w:rPr>
          <w:rFonts w:ascii="Times New Roman" w:cs="Times New Roman" w:eastAsia="Times New Roman" w:hAnsi="Times New Roman"/>
          <w:sz w:val="20"/>
          <w:szCs w:val="20"/>
          <w:color w:val="auto"/>
        </w:rPr>
        <w:t>consultancy with the Company, the Performance Criteria, Company performance, individual performance or other</w:t>
      </w:r>
    </w:p>
    <w:p>
      <w:pPr>
        <w:ind w:right="80"/>
        <w:spacing w:after="0" w:line="215" w:lineRule="auto"/>
        <w:rPr>
          <w:sz w:val="20"/>
          <w:szCs w:val="20"/>
          <w:color w:val="auto"/>
        </w:rPr>
      </w:pPr>
      <w:r>
        <w:rPr>
          <w:rFonts w:ascii="Times New Roman" w:cs="Times New Roman" w:eastAsia="Times New Roman" w:hAnsi="Times New Roman"/>
          <w:sz w:val="19"/>
          <w:szCs w:val="19"/>
          <w:color w:val="auto"/>
        </w:rPr>
        <w:t>criteria selected by the Administrator. By action taken after the Restricted Stock is issued, the Administrator may, on such terms and conditions as it may determine to be appropriate, accelerate the vesting of such Restricted Stock</w:t>
      </w:r>
    </w:p>
    <w:p>
      <w:pPr>
        <w:spacing w:after="0"/>
        <w:rPr>
          <w:sz w:val="20"/>
          <w:szCs w:val="20"/>
          <w:color w:val="auto"/>
        </w:rPr>
      </w:pPr>
      <w:r>
        <w:rPr>
          <w:rFonts w:ascii="Times New Roman" w:cs="Times New Roman" w:eastAsia="Times New Roman" w:hAnsi="Times New Roman"/>
          <w:sz w:val="20"/>
          <w:szCs w:val="20"/>
          <w:color w:val="auto"/>
        </w:rPr>
        <w:t>by removing any or all of the restrictions imposed by the terms of the Award Agreement.</w:t>
      </w:r>
    </w:p>
    <w:p>
      <w:pPr>
        <w:spacing w:after="0" w:line="16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5871845" cy="508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0"/>
          </w:cols>
          <w:pgMar w:left="1360" w:top="441" w:right="1379" w:bottom="1440" w:gutter="0" w:footer="0" w:header="0"/>
        </w:sectPr>
      </w:pPr>
    </w:p>
    <w:bookmarkStart w:id="22" w:name="page23"/>
    <w:bookmarkEnd w:id="22"/>
    <w:p>
      <w:pPr>
        <w:ind w:left="646"/>
        <w:spacing w:after="0"/>
        <w:tabs>
          <w:tab w:leader="none" w:pos="1366" w:val="left"/>
        </w:tabs>
        <w:rPr>
          <w:sz w:val="20"/>
          <w:szCs w:val="20"/>
          <w:color w:val="auto"/>
        </w:rPr>
      </w:pPr>
      <w:r>
        <w:rPr>
          <w:rFonts w:ascii="Times New Roman" w:cs="Times New Roman" w:eastAsia="Times New Roman" w:hAnsi="Times New Roman"/>
          <w:sz w:val="22"/>
          <w:szCs w:val="22"/>
          <w:color w:val="auto"/>
        </w:rPr>
        <w:t>6.4</w:t>
      </w:r>
      <w:r>
        <w:rPr>
          <w:sz w:val="20"/>
          <w:szCs w:val="20"/>
          <w:color w:val="auto"/>
        </w:rPr>
        <w:tab/>
      </w:r>
      <w:r>
        <w:rPr>
          <w:rFonts w:ascii="Times New Roman" w:cs="Times New Roman" w:eastAsia="Times New Roman" w:hAnsi="Times New Roman"/>
          <w:sz w:val="19"/>
          <w:szCs w:val="19"/>
          <w:u w:val="single" w:color="auto"/>
          <w:color w:val="auto"/>
        </w:rPr>
        <w:t>Share Vesting.</w:t>
      </w:r>
    </w:p>
    <w:p>
      <w:pPr>
        <w:spacing w:after="0" w:line="184" w:lineRule="exact"/>
        <w:rPr>
          <w:sz w:val="20"/>
          <w:szCs w:val="20"/>
          <w:color w:val="auto"/>
        </w:rPr>
      </w:pPr>
    </w:p>
    <w:p>
      <w:pPr>
        <w:ind w:left="6" w:right="60" w:firstLine="697"/>
        <w:spacing w:after="0" w:line="230" w:lineRule="auto"/>
        <w:rPr>
          <w:sz w:val="20"/>
          <w:szCs w:val="20"/>
          <w:color w:val="auto"/>
        </w:rPr>
      </w:pPr>
      <w:r>
        <w:rPr>
          <w:rFonts w:ascii="Times New Roman" w:cs="Times New Roman" w:eastAsia="Times New Roman" w:hAnsi="Times New Roman"/>
          <w:sz w:val="20"/>
          <w:szCs w:val="20"/>
          <w:color w:val="auto"/>
        </w:rPr>
        <w:t>No Restricted Stock that is not vested at a Holder’s Termination of Service shall thereafter become vested, except as may be otherwise provided by the Administrator either in the Award Agreement or by action of the Administrator following the grant of the Restricted Stock.</w:t>
      </w:r>
    </w:p>
    <w:p>
      <w:pPr>
        <w:spacing w:after="0" w:line="144" w:lineRule="exact"/>
        <w:rPr>
          <w:sz w:val="20"/>
          <w:szCs w:val="20"/>
          <w:color w:val="auto"/>
        </w:rPr>
      </w:pPr>
    </w:p>
    <w:p>
      <w:pPr>
        <w:ind w:left="646"/>
        <w:spacing w:after="0"/>
        <w:tabs>
          <w:tab w:leader="none" w:pos="1366" w:val="left"/>
        </w:tabs>
        <w:rPr>
          <w:sz w:val="20"/>
          <w:szCs w:val="20"/>
          <w:color w:val="auto"/>
        </w:rPr>
      </w:pPr>
      <w:r>
        <w:rPr>
          <w:rFonts w:ascii="Times New Roman" w:cs="Times New Roman" w:eastAsia="Times New Roman" w:hAnsi="Times New Roman"/>
          <w:sz w:val="22"/>
          <w:szCs w:val="22"/>
          <w:color w:val="auto"/>
        </w:rPr>
        <w:t>6.5</w:t>
      </w:r>
      <w:r>
        <w:rPr>
          <w:sz w:val="20"/>
          <w:szCs w:val="20"/>
          <w:color w:val="auto"/>
        </w:rPr>
        <w:tab/>
      </w:r>
      <w:r>
        <w:rPr>
          <w:rFonts w:ascii="Times New Roman" w:cs="Times New Roman" w:eastAsia="Times New Roman" w:hAnsi="Times New Roman"/>
          <w:sz w:val="19"/>
          <w:szCs w:val="19"/>
          <w:u w:val="single" w:color="auto"/>
          <w:color w:val="auto"/>
        </w:rPr>
        <w:t>Repurchase or Forfeiture of Restricted Stock.</w:t>
      </w:r>
    </w:p>
    <w:p>
      <w:pPr>
        <w:spacing w:after="0" w:line="178"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Except as otherwise determined by the Administrator at the time of the grant of the Award or thereafter,</w:t>
      </w:r>
    </w:p>
    <w:p>
      <w:pPr>
        <w:ind w:left="6" w:hanging="6"/>
        <w:spacing w:after="0" w:line="212" w:lineRule="auto"/>
        <w:tabs>
          <w:tab w:leader="none" w:pos="24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no price was paid by the Holder for the Restricted Stock, as set forth in the individual Award Agreement, upon a Termination of Service during the applicable restriction period, the Holder’s rights in unvested Restricted Stock then subject to restrictions shall lapse, and such Restricted Stock shall be surrendered to the Company and cancelled without consideration, and (ii) if a price was paid by the Holder for the Restricted Stock, as set forth in the individual Award Agreement, upon a Termination of Service during the applicable restriction period, the Company shall have the right to repurchase from the Holder the unvested Restricted Stock then subject to restrictions at a cash price per share equal to the price paid by the Holder for such Restricted Stock or such other amount as may be specified in the Award Agreement.</w:t>
      </w:r>
    </w:p>
    <w:p>
      <w:pPr>
        <w:spacing w:after="0" w:line="144" w:lineRule="exact"/>
        <w:rPr>
          <w:sz w:val="20"/>
          <w:szCs w:val="20"/>
          <w:color w:val="auto"/>
        </w:rPr>
      </w:pPr>
    </w:p>
    <w:p>
      <w:pPr>
        <w:ind w:left="646"/>
        <w:spacing w:after="0"/>
        <w:tabs>
          <w:tab w:leader="none" w:pos="1366" w:val="left"/>
        </w:tabs>
        <w:rPr>
          <w:sz w:val="20"/>
          <w:szCs w:val="20"/>
          <w:color w:val="auto"/>
        </w:rPr>
      </w:pPr>
      <w:r>
        <w:rPr>
          <w:rFonts w:ascii="Times New Roman" w:cs="Times New Roman" w:eastAsia="Times New Roman" w:hAnsi="Times New Roman"/>
          <w:sz w:val="22"/>
          <w:szCs w:val="22"/>
          <w:color w:val="auto"/>
        </w:rPr>
        <w:t>6.6</w:t>
      </w:r>
      <w:r>
        <w:rPr>
          <w:sz w:val="20"/>
          <w:szCs w:val="20"/>
          <w:color w:val="auto"/>
        </w:rPr>
        <w:tab/>
      </w:r>
      <w:r>
        <w:rPr>
          <w:rFonts w:ascii="Times New Roman" w:cs="Times New Roman" w:eastAsia="Times New Roman" w:hAnsi="Times New Roman"/>
          <w:sz w:val="19"/>
          <w:szCs w:val="19"/>
          <w:u w:val="single" w:color="auto"/>
          <w:color w:val="auto"/>
        </w:rPr>
        <w:t>Certificates for Restricted Stock.</w:t>
      </w:r>
    </w:p>
    <w:p>
      <w:pPr>
        <w:spacing w:after="0" w:line="184" w:lineRule="exact"/>
        <w:rPr>
          <w:sz w:val="20"/>
          <w:szCs w:val="20"/>
          <w:color w:val="auto"/>
        </w:rPr>
      </w:pPr>
    </w:p>
    <w:p>
      <w:pPr>
        <w:ind w:left="6" w:right="120" w:firstLine="648"/>
        <w:spacing w:after="0" w:line="234" w:lineRule="auto"/>
        <w:rPr>
          <w:sz w:val="20"/>
          <w:szCs w:val="20"/>
          <w:color w:val="auto"/>
        </w:rPr>
      </w:pPr>
      <w:r>
        <w:rPr>
          <w:rFonts w:ascii="Times New Roman" w:cs="Times New Roman" w:eastAsia="Times New Roman" w:hAnsi="Times New Roman"/>
          <w:sz w:val="19"/>
          <w:szCs w:val="19"/>
          <w:color w:val="auto"/>
        </w:rPr>
        <w:t>Restricted Stock granted pursuant to the Plan may be evidenced in such manner as the Administrator shall determine. Certificates or book entries evidencing shares of Restricted Stock must include an appropriate legend</w:t>
      </w:r>
    </w:p>
    <w:p>
      <w:pPr>
        <w:spacing w:after="0" w:line="1" w:lineRule="exact"/>
        <w:rPr>
          <w:sz w:val="20"/>
          <w:szCs w:val="20"/>
          <w:color w:val="auto"/>
        </w:rPr>
      </w:pPr>
    </w:p>
    <w:p>
      <w:pPr>
        <w:ind w:left="6"/>
        <w:spacing w:after="0" w:line="215" w:lineRule="auto"/>
        <w:rPr>
          <w:sz w:val="20"/>
          <w:szCs w:val="20"/>
          <w:color w:val="auto"/>
        </w:rPr>
      </w:pPr>
      <w:r>
        <w:rPr>
          <w:rFonts w:ascii="Times New Roman" w:cs="Times New Roman" w:eastAsia="Times New Roman" w:hAnsi="Times New Roman"/>
          <w:sz w:val="19"/>
          <w:szCs w:val="19"/>
          <w:color w:val="auto"/>
        </w:rPr>
        <w:t>referring to the terms, conditions, and restrictions applicable to such Restricted Stock. The Company may, in it sole discretion, (a) retain physical possession of any stock certificate evidencing shares of Restricted Stock until the</w:t>
      </w:r>
    </w:p>
    <w:p>
      <w:pPr>
        <w:ind w:left="6" w:right="240"/>
        <w:spacing w:after="0" w:line="215" w:lineRule="auto"/>
        <w:rPr>
          <w:sz w:val="20"/>
          <w:szCs w:val="20"/>
          <w:color w:val="auto"/>
        </w:rPr>
      </w:pPr>
      <w:r>
        <w:rPr>
          <w:rFonts w:ascii="Times New Roman" w:cs="Times New Roman" w:eastAsia="Times New Roman" w:hAnsi="Times New Roman"/>
          <w:sz w:val="19"/>
          <w:szCs w:val="19"/>
          <w:color w:val="auto"/>
        </w:rPr>
        <w:t>restrictions thereon shall have lapsed and/or (b) require that the stock certificates evidencing shares of Restricted Stock be held in custody by a designated escrow agent (which may, but need not be, the Company) until the</w:t>
      </w:r>
    </w:p>
    <w:p>
      <w:pPr>
        <w:ind w:left="6" w:right="60"/>
        <w:spacing w:after="0" w:line="228" w:lineRule="auto"/>
        <w:rPr>
          <w:sz w:val="20"/>
          <w:szCs w:val="20"/>
          <w:color w:val="auto"/>
        </w:rPr>
      </w:pPr>
      <w:r>
        <w:rPr>
          <w:rFonts w:ascii="Times New Roman" w:cs="Times New Roman" w:eastAsia="Times New Roman" w:hAnsi="Times New Roman"/>
          <w:sz w:val="20"/>
          <w:szCs w:val="20"/>
          <w:color w:val="auto"/>
        </w:rPr>
        <w:t>restrictions thereon shall have lapsed, and that the Holder deliver a stock power, endorsed in blank, relating to such Restricted Stock.</w:t>
      </w:r>
    </w:p>
    <w:p>
      <w:pPr>
        <w:spacing w:after="0" w:line="144" w:lineRule="exact"/>
        <w:rPr>
          <w:sz w:val="20"/>
          <w:szCs w:val="20"/>
          <w:color w:val="auto"/>
        </w:rPr>
      </w:pPr>
    </w:p>
    <w:p>
      <w:pPr>
        <w:ind w:left="646"/>
        <w:spacing w:after="0"/>
        <w:tabs>
          <w:tab w:leader="none" w:pos="1366" w:val="left"/>
        </w:tabs>
        <w:rPr>
          <w:sz w:val="20"/>
          <w:szCs w:val="20"/>
          <w:color w:val="auto"/>
        </w:rPr>
      </w:pPr>
      <w:r>
        <w:rPr>
          <w:rFonts w:ascii="Times New Roman" w:cs="Times New Roman" w:eastAsia="Times New Roman" w:hAnsi="Times New Roman"/>
          <w:sz w:val="22"/>
          <w:szCs w:val="22"/>
          <w:color w:val="auto"/>
        </w:rPr>
        <w:t>6.7</w:t>
      </w:r>
      <w:r>
        <w:rPr>
          <w:sz w:val="20"/>
          <w:szCs w:val="20"/>
          <w:color w:val="auto"/>
        </w:rPr>
        <w:tab/>
      </w:r>
      <w:r>
        <w:rPr>
          <w:rFonts w:ascii="Times New Roman" w:cs="Times New Roman" w:eastAsia="Times New Roman" w:hAnsi="Times New Roman"/>
          <w:sz w:val="19"/>
          <w:szCs w:val="19"/>
          <w:u w:val="single" w:color="auto"/>
          <w:color w:val="auto"/>
        </w:rPr>
        <w:t>Section 83(b) Election.</w:t>
      </w:r>
    </w:p>
    <w:p>
      <w:pPr>
        <w:spacing w:after="0" w:line="184" w:lineRule="exact"/>
        <w:rPr>
          <w:sz w:val="20"/>
          <w:szCs w:val="20"/>
          <w:color w:val="auto"/>
        </w:rPr>
      </w:pPr>
    </w:p>
    <w:p>
      <w:pPr>
        <w:ind w:left="6" w:right="260" w:firstLine="697"/>
        <w:spacing w:after="0" w:line="234" w:lineRule="auto"/>
        <w:rPr>
          <w:sz w:val="20"/>
          <w:szCs w:val="20"/>
          <w:color w:val="auto"/>
        </w:rPr>
      </w:pPr>
      <w:r>
        <w:rPr>
          <w:rFonts w:ascii="Times New Roman" w:cs="Times New Roman" w:eastAsia="Times New Roman" w:hAnsi="Times New Roman"/>
          <w:sz w:val="19"/>
          <w:szCs w:val="19"/>
          <w:color w:val="auto"/>
        </w:rPr>
        <w:t>If a Holder makes an election under Section 83(b) of the Code to be taxed with respect to the Restricted Stock as of the date of transfer of the Restricted Stock rather than as of the date or dates upon which the Holder</w:t>
      </w:r>
    </w:p>
    <w:p>
      <w:pPr>
        <w:spacing w:after="0" w:line="1" w:lineRule="exact"/>
        <w:rPr>
          <w:sz w:val="20"/>
          <w:szCs w:val="20"/>
          <w:color w:val="auto"/>
        </w:rPr>
      </w:pPr>
    </w:p>
    <w:p>
      <w:pPr>
        <w:ind w:left="6" w:right="100"/>
        <w:spacing w:after="0" w:line="221" w:lineRule="auto"/>
        <w:rPr>
          <w:sz w:val="20"/>
          <w:szCs w:val="20"/>
          <w:color w:val="auto"/>
        </w:rPr>
      </w:pPr>
      <w:r>
        <w:rPr>
          <w:rFonts w:ascii="Times New Roman" w:cs="Times New Roman" w:eastAsia="Times New Roman" w:hAnsi="Times New Roman"/>
          <w:sz w:val="20"/>
          <w:szCs w:val="20"/>
          <w:color w:val="auto"/>
        </w:rPr>
        <w:t>would otherwise be taxable under Section 83(a) of the Code, the Holder shall be required to deliver a copy of such election to the Company promptly after filing such election with the Internal Revenue Service.</w:t>
      </w:r>
    </w:p>
    <w:p>
      <w:pPr>
        <w:spacing w:after="0" w:line="153"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22"/>
          <w:szCs w:val="22"/>
          <w:b w:val="1"/>
          <w:bCs w:val="1"/>
          <w:color w:val="auto"/>
        </w:rPr>
        <w:t>ARTICLE 7.</w:t>
      </w:r>
    </w:p>
    <w:p>
      <w:pPr>
        <w:spacing w:after="0" w:line="174" w:lineRule="exact"/>
        <w:rPr>
          <w:sz w:val="20"/>
          <w:szCs w:val="20"/>
          <w:color w:val="auto"/>
        </w:rPr>
      </w:pPr>
    </w:p>
    <w:p>
      <w:pPr>
        <w:ind w:left="3006"/>
        <w:spacing w:after="0"/>
        <w:rPr>
          <w:sz w:val="20"/>
          <w:szCs w:val="20"/>
          <w:color w:val="auto"/>
        </w:rPr>
      </w:pPr>
      <w:r>
        <w:rPr>
          <w:rFonts w:ascii="Times New Roman" w:cs="Times New Roman" w:eastAsia="Times New Roman" w:hAnsi="Times New Roman"/>
          <w:sz w:val="20"/>
          <w:szCs w:val="20"/>
          <w:color w:val="auto"/>
        </w:rPr>
        <w:t>RESTRICTED STOCK UNITS</w:t>
      </w:r>
    </w:p>
    <w:p>
      <w:pPr>
        <w:spacing w:after="0" w:line="170" w:lineRule="exact"/>
        <w:rPr>
          <w:sz w:val="20"/>
          <w:szCs w:val="20"/>
          <w:color w:val="auto"/>
        </w:rPr>
      </w:pPr>
    </w:p>
    <w:p>
      <w:pPr>
        <w:ind w:left="646"/>
        <w:spacing w:after="0"/>
        <w:tabs>
          <w:tab w:leader="none" w:pos="1366" w:val="left"/>
        </w:tabs>
        <w:rPr>
          <w:sz w:val="20"/>
          <w:szCs w:val="20"/>
          <w:color w:val="auto"/>
        </w:rPr>
      </w:pPr>
      <w:r>
        <w:rPr>
          <w:rFonts w:ascii="Times New Roman" w:cs="Times New Roman" w:eastAsia="Times New Roman" w:hAnsi="Times New Roman"/>
          <w:sz w:val="22"/>
          <w:szCs w:val="22"/>
          <w:color w:val="auto"/>
        </w:rPr>
        <w:t>7.1</w:t>
      </w:r>
      <w:r>
        <w:rPr>
          <w:sz w:val="20"/>
          <w:szCs w:val="20"/>
          <w:color w:val="auto"/>
        </w:rPr>
        <w:tab/>
      </w:r>
      <w:r>
        <w:rPr>
          <w:rFonts w:ascii="Times New Roman" w:cs="Times New Roman" w:eastAsia="Times New Roman" w:hAnsi="Times New Roman"/>
          <w:sz w:val="19"/>
          <w:szCs w:val="19"/>
          <w:u w:val="single" w:color="auto"/>
          <w:color w:val="auto"/>
        </w:rPr>
        <w:t>Grant of Restricted Stock Units.</w:t>
      </w:r>
    </w:p>
    <w:p>
      <w:pPr>
        <w:spacing w:after="0" w:line="178" w:lineRule="exact"/>
        <w:rPr>
          <w:sz w:val="20"/>
          <w:szCs w:val="20"/>
          <w:color w:val="auto"/>
        </w:rPr>
      </w:pPr>
    </w:p>
    <w:p>
      <w:pPr>
        <w:ind w:left="646"/>
        <w:spacing w:after="0"/>
        <w:rPr>
          <w:sz w:val="20"/>
          <w:szCs w:val="20"/>
          <w:color w:val="auto"/>
        </w:rPr>
      </w:pPr>
      <w:r>
        <w:rPr>
          <w:rFonts w:ascii="Times New Roman" w:cs="Times New Roman" w:eastAsia="Times New Roman" w:hAnsi="Times New Roman"/>
          <w:sz w:val="20"/>
          <w:szCs w:val="20"/>
          <w:color w:val="auto"/>
        </w:rPr>
        <w:t>The Administrator is authorized to grant Awards of Restricted Stock Units to any Eligible Individual</w:t>
      </w:r>
    </w:p>
    <w:p>
      <w:pPr>
        <w:ind w:left="6" w:right="540"/>
        <w:spacing w:after="0" w:line="221" w:lineRule="auto"/>
        <w:rPr>
          <w:sz w:val="20"/>
          <w:szCs w:val="20"/>
          <w:color w:val="auto"/>
        </w:rPr>
      </w:pPr>
      <w:r>
        <w:rPr>
          <w:rFonts w:ascii="Times New Roman" w:cs="Times New Roman" w:eastAsia="Times New Roman" w:hAnsi="Times New Roman"/>
          <w:sz w:val="20"/>
          <w:szCs w:val="20"/>
          <w:color w:val="auto"/>
        </w:rPr>
        <w:t>selected by the Administrator in such amounts and subject to such terms and conditions as determined by the Administrator.</w:t>
      </w:r>
    </w:p>
    <w:p>
      <w:pPr>
        <w:spacing w:after="0" w:line="157" w:lineRule="exact"/>
        <w:rPr>
          <w:sz w:val="20"/>
          <w:szCs w:val="20"/>
          <w:color w:val="auto"/>
        </w:rPr>
      </w:pPr>
    </w:p>
    <w:p>
      <w:pPr>
        <w:ind w:left="646"/>
        <w:spacing w:after="0"/>
        <w:tabs>
          <w:tab w:leader="none" w:pos="1366" w:val="left"/>
        </w:tabs>
        <w:rPr>
          <w:sz w:val="20"/>
          <w:szCs w:val="20"/>
          <w:color w:val="auto"/>
        </w:rPr>
      </w:pPr>
      <w:r>
        <w:rPr>
          <w:rFonts w:ascii="Times New Roman" w:cs="Times New Roman" w:eastAsia="Times New Roman" w:hAnsi="Times New Roman"/>
          <w:sz w:val="22"/>
          <w:szCs w:val="22"/>
          <w:color w:val="auto"/>
        </w:rPr>
        <w:t>7.2</w:t>
      </w:r>
      <w:r>
        <w:rPr>
          <w:sz w:val="20"/>
          <w:szCs w:val="20"/>
          <w:color w:val="auto"/>
        </w:rPr>
        <w:tab/>
      </w:r>
      <w:r>
        <w:rPr>
          <w:rFonts w:ascii="Times New Roman" w:cs="Times New Roman" w:eastAsia="Times New Roman" w:hAnsi="Times New Roman"/>
          <w:sz w:val="19"/>
          <w:szCs w:val="19"/>
          <w:u w:val="single" w:color="auto"/>
          <w:color w:val="auto"/>
        </w:rPr>
        <w:t>Term.</w:t>
      </w:r>
    </w:p>
    <w:p>
      <w:pPr>
        <w:spacing w:after="0" w:line="184" w:lineRule="exact"/>
        <w:rPr>
          <w:sz w:val="20"/>
          <w:szCs w:val="20"/>
          <w:color w:val="auto"/>
        </w:rPr>
      </w:pPr>
    </w:p>
    <w:p>
      <w:pPr>
        <w:ind w:left="6" w:right="740" w:firstLine="697"/>
        <w:spacing w:after="0"/>
        <w:rPr>
          <w:sz w:val="20"/>
          <w:szCs w:val="20"/>
          <w:color w:val="auto"/>
        </w:rPr>
      </w:pPr>
      <w:r>
        <w:rPr>
          <w:rFonts w:ascii="Times New Roman" w:cs="Times New Roman" w:eastAsia="Times New Roman" w:hAnsi="Times New Roman"/>
          <w:sz w:val="20"/>
          <w:szCs w:val="20"/>
          <w:color w:val="auto"/>
        </w:rPr>
        <w:t>Except as otherwise provided herein, the term of a Restricted Stock Unit award shall be set by the Administrator in its sole discretion.</w:t>
      </w:r>
    </w:p>
    <w:p>
      <w:pPr>
        <w:spacing w:after="0" w:line="14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5871845"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66"/>
          </w:cols>
          <w:pgMar w:left="1354" w:top="436" w:right="1379" w:bottom="1440" w:gutter="0" w:footer="0" w:header="0"/>
        </w:sectPr>
      </w:pPr>
    </w:p>
    <w:bookmarkStart w:id="23" w:name="page24"/>
    <w:bookmarkEnd w:id="23"/>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7.3</w:t>
      </w:r>
      <w:r>
        <w:rPr>
          <w:sz w:val="20"/>
          <w:szCs w:val="20"/>
          <w:color w:val="auto"/>
        </w:rPr>
        <w:tab/>
      </w:r>
      <w:r>
        <w:rPr>
          <w:rFonts w:ascii="Times New Roman" w:cs="Times New Roman" w:eastAsia="Times New Roman" w:hAnsi="Times New Roman"/>
          <w:sz w:val="19"/>
          <w:szCs w:val="19"/>
          <w:u w:val="single" w:color="auto"/>
          <w:color w:val="auto"/>
        </w:rPr>
        <w:t>Purchase Price.</w:t>
      </w:r>
    </w:p>
    <w:p>
      <w:pPr>
        <w:spacing w:after="0" w:line="184" w:lineRule="exact"/>
        <w:rPr>
          <w:sz w:val="20"/>
          <w:szCs w:val="20"/>
          <w:color w:val="auto"/>
        </w:rPr>
      </w:pPr>
    </w:p>
    <w:p>
      <w:pPr>
        <w:ind w:right="220" w:firstLine="648"/>
        <w:spacing w:after="0" w:line="234" w:lineRule="auto"/>
        <w:rPr>
          <w:sz w:val="20"/>
          <w:szCs w:val="20"/>
          <w:color w:val="auto"/>
        </w:rPr>
      </w:pPr>
      <w:r>
        <w:rPr>
          <w:rFonts w:ascii="Times New Roman" w:cs="Times New Roman" w:eastAsia="Times New Roman" w:hAnsi="Times New Roman"/>
          <w:sz w:val="19"/>
          <w:szCs w:val="19"/>
          <w:color w:val="auto"/>
        </w:rPr>
        <w:t xml:space="preserve">The Administrator shall specify the purchase price, if any, to be paid by the Holder to the Company with respect to any Restricted Stock Unit award;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value of the consideration shall not be less</w:t>
      </w:r>
    </w:p>
    <w:p>
      <w:pPr>
        <w:spacing w:after="0" w:line="1" w:lineRule="exact"/>
        <w:rPr>
          <w:sz w:val="20"/>
          <w:szCs w:val="20"/>
          <w:color w:val="auto"/>
        </w:rPr>
      </w:pPr>
    </w:p>
    <w:p>
      <w:pPr>
        <w:ind w:right="60"/>
        <w:spacing w:after="0" w:line="215" w:lineRule="auto"/>
        <w:rPr>
          <w:sz w:val="20"/>
          <w:szCs w:val="20"/>
          <w:color w:val="auto"/>
        </w:rPr>
      </w:pPr>
      <w:r>
        <w:rPr>
          <w:rFonts w:ascii="Times New Roman" w:cs="Times New Roman" w:eastAsia="Times New Roman" w:hAnsi="Times New Roman"/>
          <w:sz w:val="19"/>
          <w:szCs w:val="19"/>
          <w:color w:val="auto"/>
        </w:rPr>
        <w:t>than the par value of a Share, unless otherwise permitted by Applicable Law. The purchase price per Share may, however, be less than the Fair Market Value. In all cases, legal consideration shall be required for each issuance of</w:t>
      </w:r>
    </w:p>
    <w:p>
      <w:pPr>
        <w:spacing w:after="0"/>
        <w:rPr>
          <w:sz w:val="20"/>
          <w:szCs w:val="20"/>
          <w:color w:val="auto"/>
        </w:rPr>
      </w:pPr>
      <w:r>
        <w:rPr>
          <w:rFonts w:ascii="Times New Roman" w:cs="Times New Roman" w:eastAsia="Times New Roman" w:hAnsi="Times New Roman"/>
          <w:sz w:val="20"/>
          <w:szCs w:val="20"/>
          <w:color w:val="auto"/>
        </w:rPr>
        <w:t>Restricted Stock Units.</w:t>
      </w:r>
    </w:p>
    <w:p>
      <w:pPr>
        <w:spacing w:after="0" w:line="162"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7.4</w:t>
      </w:r>
      <w:r>
        <w:rPr>
          <w:sz w:val="20"/>
          <w:szCs w:val="20"/>
          <w:color w:val="auto"/>
        </w:rPr>
        <w:tab/>
      </w:r>
      <w:r>
        <w:rPr>
          <w:rFonts w:ascii="Times New Roman" w:cs="Times New Roman" w:eastAsia="Times New Roman" w:hAnsi="Times New Roman"/>
          <w:sz w:val="19"/>
          <w:szCs w:val="19"/>
          <w:u w:val="single" w:color="auto"/>
          <w:color w:val="auto"/>
        </w:rPr>
        <w:t>Vesting of Restricted Stock Units.</w:t>
      </w:r>
    </w:p>
    <w:p>
      <w:pPr>
        <w:spacing w:after="0" w:line="184" w:lineRule="exact"/>
        <w:rPr>
          <w:sz w:val="20"/>
          <w:szCs w:val="20"/>
          <w:color w:val="auto"/>
        </w:rPr>
      </w:pPr>
    </w:p>
    <w:p>
      <w:pPr>
        <w:jc w:val="both"/>
        <w:ind w:right="160" w:firstLine="648"/>
        <w:spacing w:after="0" w:line="227" w:lineRule="auto"/>
        <w:rPr>
          <w:sz w:val="20"/>
          <w:szCs w:val="20"/>
          <w:color w:val="auto"/>
        </w:rPr>
      </w:pPr>
      <w:r>
        <w:rPr>
          <w:rFonts w:ascii="Times New Roman" w:cs="Times New Roman" w:eastAsia="Times New Roman" w:hAnsi="Times New Roman"/>
          <w:sz w:val="19"/>
          <w:szCs w:val="19"/>
          <w:color w:val="auto"/>
        </w:rPr>
        <w:t>At the time of grant, the Administrator shall specify the date or dates on which the Restricted Stock Units shall become fully vested and nonforfeitable, and may specify such conditions to vesting as it deems appropriate,</w:t>
      </w:r>
    </w:p>
    <w:p>
      <w:pPr>
        <w:spacing w:after="0" w:line="211" w:lineRule="auto"/>
        <w:rPr>
          <w:sz w:val="20"/>
          <w:szCs w:val="20"/>
          <w:color w:val="auto"/>
        </w:rPr>
      </w:pPr>
      <w:r>
        <w:rPr>
          <w:rFonts w:ascii="Times New Roman" w:cs="Times New Roman" w:eastAsia="Times New Roman" w:hAnsi="Times New Roman"/>
          <w:sz w:val="20"/>
          <w:szCs w:val="20"/>
          <w:color w:val="auto"/>
        </w:rPr>
        <w:t>including, without limitation, vesting based upon the Holder’s duration of service to the Company or any</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Subsidiary, one or more Performance Criteria, Company performance, individual performance or other specific criteria, in each case on a specified date or dates or over any period or periods, as determined by the Administrator,</w:t>
      </w:r>
    </w:p>
    <w:p>
      <w:pPr>
        <w:spacing w:after="0"/>
        <w:rPr>
          <w:sz w:val="20"/>
          <w:szCs w:val="20"/>
          <w:color w:val="auto"/>
        </w:rPr>
      </w:pPr>
      <w:r>
        <w:rPr>
          <w:rFonts w:ascii="Times New Roman" w:cs="Times New Roman" w:eastAsia="Times New Roman" w:hAnsi="Times New Roman"/>
          <w:sz w:val="20"/>
          <w:szCs w:val="20"/>
          <w:color w:val="auto"/>
        </w:rPr>
        <w:t>subject to Section 3.3.</w:t>
      </w:r>
    </w:p>
    <w:p>
      <w:pPr>
        <w:spacing w:after="0" w:line="162"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7.5</w:t>
      </w:r>
      <w:r>
        <w:rPr>
          <w:sz w:val="20"/>
          <w:szCs w:val="20"/>
          <w:color w:val="auto"/>
        </w:rPr>
        <w:tab/>
      </w:r>
      <w:r>
        <w:rPr>
          <w:rFonts w:ascii="Times New Roman" w:cs="Times New Roman" w:eastAsia="Times New Roman" w:hAnsi="Times New Roman"/>
          <w:sz w:val="19"/>
          <w:szCs w:val="19"/>
          <w:u w:val="single" w:color="auto"/>
          <w:color w:val="auto"/>
        </w:rPr>
        <w:t>Maturity and Payment.</w:t>
      </w:r>
    </w:p>
    <w:p>
      <w:pPr>
        <w:spacing w:after="0" w:line="184" w:lineRule="exact"/>
        <w:rPr>
          <w:sz w:val="20"/>
          <w:szCs w:val="20"/>
          <w:color w:val="auto"/>
        </w:rPr>
      </w:pPr>
    </w:p>
    <w:p>
      <w:pPr>
        <w:ind w:firstLine="648"/>
        <w:spacing w:after="0" w:line="227" w:lineRule="auto"/>
        <w:rPr>
          <w:sz w:val="20"/>
          <w:szCs w:val="20"/>
          <w:color w:val="auto"/>
        </w:rPr>
      </w:pPr>
      <w:r>
        <w:rPr>
          <w:rFonts w:ascii="Times New Roman" w:cs="Times New Roman" w:eastAsia="Times New Roman" w:hAnsi="Times New Roman"/>
          <w:sz w:val="19"/>
          <w:szCs w:val="19"/>
          <w:color w:val="auto"/>
        </w:rPr>
        <w:t>At the time of grant, the Administrator shall specify the maturity date applicable to each grant of Restricted Stock Units which shall be no earlier than the vesting date or dates of the Award and may be determined at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election of the Holder (if permitted by the applicable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except as otherwise</w:t>
      </w:r>
    </w:p>
    <w:p>
      <w:pPr>
        <w:spacing w:after="0" w:line="1" w:lineRule="exact"/>
        <w:rPr>
          <w:sz w:val="20"/>
          <w:szCs w:val="20"/>
          <w:color w:val="auto"/>
        </w:rPr>
      </w:pPr>
    </w:p>
    <w:p>
      <w:pPr>
        <w:ind w:right="20"/>
        <w:spacing w:after="0" w:line="214" w:lineRule="auto"/>
        <w:rPr>
          <w:sz w:val="20"/>
          <w:szCs w:val="20"/>
          <w:color w:val="auto"/>
        </w:rPr>
      </w:pPr>
      <w:r>
        <w:rPr>
          <w:rFonts w:ascii="Times New Roman" w:cs="Times New Roman" w:eastAsia="Times New Roman" w:hAnsi="Times New Roman"/>
          <w:sz w:val="19"/>
          <w:szCs w:val="19"/>
          <w:color w:val="auto"/>
        </w:rPr>
        <w:t>expressly set forth in an applicable Award Agreement, the maturity date relating to each Restricted Stock Unit shall not occur following the later of (a) the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9"/>
          <w:szCs w:val="19"/>
          <w:color w:val="auto"/>
        </w:rPr>
        <w:t xml:space="preserve"> day of the third month following the end of calendar year in which the</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applicable portion of the Restricted Stock Unit vests; or (b) the 15</w:t>
      </w:r>
      <w:r>
        <w:rPr>
          <w:rFonts w:ascii="Times New Roman" w:cs="Times New Roman" w:eastAsia="Times New Roman" w:hAnsi="Times New Roman"/>
          <w:sz w:val="19"/>
          <w:szCs w:val="19"/>
          <w:color w:val="auto"/>
          <w:vertAlign w:val="superscript"/>
        </w:rPr>
        <w:t>th</w:t>
      </w:r>
      <w:r>
        <w:rPr>
          <w:rFonts w:ascii="Times New Roman" w:cs="Times New Roman" w:eastAsia="Times New Roman" w:hAnsi="Times New Roman"/>
          <w:sz w:val="19"/>
          <w:szCs w:val="19"/>
          <w:color w:val="auto"/>
        </w:rPr>
        <w:t xml:space="preserve"> day of the third month following the end of the Company’s fiscal year in which the applicable portion of the Restricted Stock Unit vests. On the maturity date, the</w:t>
      </w:r>
    </w:p>
    <w:p>
      <w:pPr>
        <w:spacing w:after="0" w:line="223" w:lineRule="auto"/>
        <w:rPr>
          <w:sz w:val="20"/>
          <w:szCs w:val="20"/>
          <w:color w:val="auto"/>
        </w:rPr>
      </w:pPr>
      <w:r>
        <w:rPr>
          <w:rFonts w:ascii="Times New Roman" w:cs="Times New Roman" w:eastAsia="Times New Roman" w:hAnsi="Times New Roman"/>
          <w:sz w:val="19"/>
          <w:szCs w:val="19"/>
          <w:color w:val="auto"/>
        </w:rPr>
        <w:t>Company shall, subject to Section 10.4(e), transfer to the Holder one unrestricted, fully transferable Share for each</w:t>
      </w:r>
    </w:p>
    <w:p>
      <w:pPr>
        <w:spacing w:after="0" w:line="204" w:lineRule="auto"/>
        <w:rPr>
          <w:sz w:val="20"/>
          <w:szCs w:val="20"/>
          <w:color w:val="auto"/>
        </w:rPr>
      </w:pPr>
      <w:r>
        <w:rPr>
          <w:rFonts w:ascii="Times New Roman" w:cs="Times New Roman" w:eastAsia="Times New Roman" w:hAnsi="Times New Roman"/>
          <w:sz w:val="20"/>
          <w:szCs w:val="20"/>
          <w:color w:val="auto"/>
        </w:rPr>
        <w:t>Restricted Stock Unit scheduled to be paid out on such date and not previously forfeited, or in the sole discretion of the Administrator, an amount in cash equal to the Fair Market Value of such Shares on the maturity date or a</w:t>
      </w:r>
    </w:p>
    <w:p>
      <w:pPr>
        <w:spacing w:after="0" w:line="211" w:lineRule="auto"/>
        <w:rPr>
          <w:sz w:val="20"/>
          <w:szCs w:val="20"/>
          <w:color w:val="auto"/>
        </w:rPr>
      </w:pPr>
      <w:r>
        <w:rPr>
          <w:rFonts w:ascii="Times New Roman" w:cs="Times New Roman" w:eastAsia="Times New Roman" w:hAnsi="Times New Roman"/>
          <w:sz w:val="20"/>
          <w:szCs w:val="20"/>
          <w:color w:val="auto"/>
        </w:rPr>
        <w:t>combination of cash and Common Stock as determined by the Administrator. No portion of a Restricted Stock</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Unit which is unexercisable at a Holder’s Termination of Service shall thereafter vest, except as may be otherwise provided by the Administrator either in the Award Agreement or by action of the Administrator following the grant</w:t>
      </w:r>
    </w:p>
    <w:p>
      <w:pPr>
        <w:spacing w:after="0"/>
        <w:rPr>
          <w:sz w:val="20"/>
          <w:szCs w:val="20"/>
          <w:color w:val="auto"/>
        </w:rPr>
      </w:pPr>
      <w:r>
        <w:rPr>
          <w:rFonts w:ascii="Times New Roman" w:cs="Times New Roman" w:eastAsia="Times New Roman" w:hAnsi="Times New Roman"/>
          <w:sz w:val="20"/>
          <w:szCs w:val="20"/>
          <w:color w:val="auto"/>
        </w:rPr>
        <w:t>of the Restricted Stock Unit.</w:t>
      </w:r>
    </w:p>
    <w:p>
      <w:pPr>
        <w:spacing w:after="0" w:line="162"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7.6</w:t>
      </w:r>
      <w:r>
        <w:rPr>
          <w:sz w:val="20"/>
          <w:szCs w:val="20"/>
          <w:color w:val="auto"/>
        </w:rPr>
        <w:tab/>
      </w:r>
      <w:r>
        <w:rPr>
          <w:rFonts w:ascii="Times New Roman" w:cs="Times New Roman" w:eastAsia="Times New Roman" w:hAnsi="Times New Roman"/>
          <w:sz w:val="19"/>
          <w:szCs w:val="19"/>
          <w:u w:val="single" w:color="auto"/>
          <w:color w:val="auto"/>
        </w:rPr>
        <w:t>No Rights as a Stockholder.</w:t>
      </w:r>
    </w:p>
    <w:p>
      <w:pPr>
        <w:spacing w:after="0" w:line="184" w:lineRule="exact"/>
        <w:rPr>
          <w:sz w:val="20"/>
          <w:szCs w:val="20"/>
          <w:color w:val="auto"/>
        </w:rPr>
      </w:pPr>
    </w:p>
    <w:p>
      <w:pPr>
        <w:ind w:right="60" w:firstLine="648"/>
        <w:spacing w:after="0" w:line="227" w:lineRule="auto"/>
        <w:rPr>
          <w:sz w:val="20"/>
          <w:szCs w:val="20"/>
          <w:color w:val="auto"/>
        </w:rPr>
      </w:pPr>
      <w:r>
        <w:rPr>
          <w:rFonts w:ascii="Times New Roman" w:cs="Times New Roman" w:eastAsia="Times New Roman" w:hAnsi="Times New Roman"/>
          <w:sz w:val="19"/>
          <w:szCs w:val="19"/>
          <w:color w:val="auto"/>
        </w:rPr>
        <w:t>Unless otherwise determined by the Administrator, a Holder of Restricted Stock Units shall possess no incidents of ownership with respect to the Shares represented by such Restricted Stock Units, unless and until such</w:t>
      </w:r>
    </w:p>
    <w:p>
      <w:pPr>
        <w:spacing w:after="0"/>
        <w:rPr>
          <w:sz w:val="20"/>
          <w:szCs w:val="20"/>
          <w:color w:val="auto"/>
        </w:rPr>
      </w:pPr>
      <w:r>
        <w:rPr>
          <w:rFonts w:ascii="Times New Roman" w:cs="Times New Roman" w:eastAsia="Times New Roman" w:hAnsi="Times New Roman"/>
          <w:sz w:val="20"/>
          <w:szCs w:val="20"/>
          <w:color w:val="auto"/>
        </w:rPr>
        <w:t>Shares are transferred to the Holder pursuant to the terms of this Plan and the Award Agreement.</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8.</w:t>
      </w:r>
    </w:p>
    <w:p>
      <w:pPr>
        <w:spacing w:after="0" w:line="16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0"/>
          <w:szCs w:val="20"/>
          <w:color w:val="auto"/>
        </w:rPr>
        <w:t>PERFORMANCE AWARDS AND STOCK PAYMENTS</w:t>
      </w:r>
    </w:p>
    <w:p>
      <w:pPr>
        <w:spacing w:after="0" w:line="18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8.1</w:t>
      </w:r>
      <w:r>
        <w:rPr>
          <w:sz w:val="20"/>
          <w:szCs w:val="20"/>
          <w:color w:val="auto"/>
        </w:rPr>
        <w:tab/>
      </w:r>
      <w:r>
        <w:rPr>
          <w:rFonts w:ascii="Times New Roman" w:cs="Times New Roman" w:eastAsia="Times New Roman" w:hAnsi="Times New Roman"/>
          <w:sz w:val="19"/>
          <w:szCs w:val="19"/>
          <w:u w:val="single" w:color="auto"/>
          <w:color w:val="auto"/>
        </w:rPr>
        <w:t>Performance Awards.</w:t>
      </w:r>
    </w:p>
    <w:p>
      <w:pPr>
        <w:spacing w:after="0" w:line="184" w:lineRule="exact"/>
        <w:rPr>
          <w:sz w:val="20"/>
          <w:szCs w:val="20"/>
          <w:color w:val="auto"/>
        </w:rPr>
      </w:pPr>
    </w:p>
    <w:p>
      <w:pPr>
        <w:ind w:right="40" w:firstLine="1290"/>
        <w:spacing w:after="0" w:line="217" w:lineRule="auto"/>
        <w:tabs>
          <w:tab w:leader="none" w:pos="1997"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is authorized to grant Performance Awards, including Awards of Performance Stock Units and Awards of cash bonuses or other cash awards determined in the Administrator’s discretion from time to time, to any Eligible Individual. The value of Performance Awards, including Performance Stock Units, may vest based upon one or more of the Performance Criteria or other specific criteria determined by the Administrator, in each case on a specified date or dates or over any period or periods</w:t>
      </w:r>
    </w:p>
    <w:p>
      <w:pPr>
        <w:spacing w:after="0" w:line="162"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370205</wp:posOffset>
            </wp:positionV>
            <wp:extent cx="5871845" cy="508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40"/>
          </w:cols>
          <w:pgMar w:left="1360" w:top="436" w:right="1399" w:bottom="1440" w:gutter="0" w:footer="0" w:header="0"/>
        </w:sectPr>
      </w:pPr>
    </w:p>
    <w:bookmarkStart w:id="24" w:name="page25"/>
    <w:bookmarkEnd w:id="24"/>
    <w:p>
      <w:pPr>
        <w:ind w:right="140"/>
        <w:spacing w:after="0"/>
        <w:rPr>
          <w:sz w:val="20"/>
          <w:szCs w:val="20"/>
          <w:color w:val="auto"/>
        </w:rPr>
      </w:pPr>
      <w:r>
        <w:rPr>
          <w:rFonts w:ascii="Times New Roman" w:cs="Times New Roman" w:eastAsia="Times New Roman" w:hAnsi="Times New Roman"/>
          <w:sz w:val="20"/>
          <w:szCs w:val="20"/>
          <w:color w:val="auto"/>
        </w:rPr>
        <w:t>determined by the Administrator. Performance Awards, including Performance Stock Unit awards may be paid in cash, Shares, or a combination of cash and Shares, as determined by the Administrator.</w:t>
      </w:r>
    </w:p>
    <w:p>
      <w:pPr>
        <w:spacing w:after="0" w:line="148" w:lineRule="exact"/>
        <w:rPr>
          <w:sz w:val="20"/>
          <w:szCs w:val="20"/>
          <w:color w:val="auto"/>
        </w:rPr>
      </w:pPr>
    </w:p>
    <w:p>
      <w:pPr>
        <w:jc w:val="both"/>
        <w:ind w:right="100" w:firstLine="1290"/>
        <w:spacing w:after="0" w:line="222" w:lineRule="auto"/>
        <w:tabs>
          <w:tab w:leader="none" w:pos="2008" w:val="left"/>
        </w:tabs>
        <w:numPr>
          <w:ilvl w:val="0"/>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Without limiting Section 8.1(a), the Administrator may grant Performance Awards to any Eligible Individual in the form of a cash bonus payable upon the attainment of Performance Criteria, or such other criteria, whether or not objective, which are established by the Administrator, in each case on a specified date or dates or over any period or periods determined by the Administrator.</w:t>
      </w:r>
    </w:p>
    <w:p>
      <w:pPr>
        <w:spacing w:after="0" w:line="157"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19"/>
          <w:szCs w:val="19"/>
          <w:u w:val="single" w:color="auto"/>
          <w:color w:val="auto"/>
        </w:rPr>
        <w:t>Stock Payments.</w:t>
      </w:r>
    </w:p>
    <w:p>
      <w:pPr>
        <w:spacing w:after="0" w:line="184" w:lineRule="exact"/>
        <w:rPr>
          <w:sz w:val="20"/>
          <w:szCs w:val="20"/>
          <w:color w:val="auto"/>
        </w:rPr>
      </w:pPr>
    </w:p>
    <w:p>
      <w:pPr>
        <w:ind w:right="100" w:firstLine="648"/>
        <w:spacing w:after="0" w:line="234" w:lineRule="auto"/>
        <w:rPr>
          <w:sz w:val="20"/>
          <w:szCs w:val="20"/>
          <w:color w:val="auto"/>
        </w:rPr>
      </w:pPr>
      <w:r>
        <w:rPr>
          <w:rFonts w:ascii="Times New Roman" w:cs="Times New Roman" w:eastAsia="Times New Roman" w:hAnsi="Times New Roman"/>
          <w:sz w:val="19"/>
          <w:szCs w:val="19"/>
          <w:color w:val="auto"/>
        </w:rPr>
        <w:t>The Administrator is authorized to make Stock Payments to any Eligible Individual. The number or value of Shares of any Stock Payment shall be determined by the Administrator and may vest based upon one or more</w:t>
      </w:r>
    </w:p>
    <w:p>
      <w:pPr>
        <w:spacing w:after="0" w:line="1" w:lineRule="exact"/>
        <w:rPr>
          <w:sz w:val="20"/>
          <w:szCs w:val="20"/>
          <w:color w:val="auto"/>
        </w:rPr>
      </w:pPr>
    </w:p>
    <w:p>
      <w:pPr>
        <w:ind w:right="40"/>
        <w:spacing w:after="0" w:line="215" w:lineRule="auto"/>
        <w:rPr>
          <w:sz w:val="20"/>
          <w:szCs w:val="20"/>
          <w:color w:val="auto"/>
        </w:rPr>
      </w:pPr>
      <w:r>
        <w:rPr>
          <w:rFonts w:ascii="Times New Roman" w:cs="Times New Roman" w:eastAsia="Times New Roman" w:hAnsi="Times New Roman"/>
          <w:sz w:val="19"/>
          <w:szCs w:val="19"/>
          <w:color w:val="auto"/>
        </w:rPr>
        <w:t>Performance Criteria or any other specific criteria, including service to the Company or any Subsidiary, determined by the Administrator. Shares underlying a Stock Payment which is subject to a vesting schedule or other</w:t>
      </w:r>
    </w:p>
    <w:p>
      <w:pPr>
        <w:spacing w:after="0" w:line="211" w:lineRule="auto"/>
        <w:rPr>
          <w:sz w:val="20"/>
          <w:szCs w:val="20"/>
          <w:color w:val="auto"/>
        </w:rPr>
      </w:pPr>
      <w:r>
        <w:rPr>
          <w:rFonts w:ascii="Times New Roman" w:cs="Times New Roman" w:eastAsia="Times New Roman" w:hAnsi="Times New Roman"/>
          <w:sz w:val="20"/>
          <w:szCs w:val="20"/>
          <w:color w:val="auto"/>
        </w:rPr>
        <w:t>conditions or criteria set by the Administrator will not be issued until those conditions have been satisfied. Unless</w:t>
      </w:r>
    </w:p>
    <w:p>
      <w:pPr>
        <w:ind w:right="320"/>
        <w:spacing w:after="0" w:line="215" w:lineRule="auto"/>
        <w:rPr>
          <w:sz w:val="20"/>
          <w:szCs w:val="20"/>
          <w:color w:val="auto"/>
        </w:rPr>
      </w:pPr>
      <w:r>
        <w:rPr>
          <w:rFonts w:ascii="Times New Roman" w:cs="Times New Roman" w:eastAsia="Times New Roman" w:hAnsi="Times New Roman"/>
          <w:sz w:val="19"/>
          <w:szCs w:val="19"/>
          <w:color w:val="auto"/>
        </w:rPr>
        <w:t>otherwise provided by the Administrator, a Holder of a Stock Payment shall have no rights as a Company stockholder with respect to such Stock Payment until such time as the Stock Payment has vested and the Shares</w:t>
      </w:r>
    </w:p>
    <w:p>
      <w:pPr>
        <w:spacing w:after="0" w:line="228" w:lineRule="auto"/>
        <w:rPr>
          <w:sz w:val="20"/>
          <w:szCs w:val="20"/>
          <w:color w:val="auto"/>
        </w:rPr>
      </w:pPr>
      <w:r>
        <w:rPr>
          <w:rFonts w:ascii="Times New Roman" w:cs="Times New Roman" w:eastAsia="Times New Roman" w:hAnsi="Times New Roman"/>
          <w:sz w:val="20"/>
          <w:szCs w:val="20"/>
          <w:color w:val="auto"/>
        </w:rPr>
        <w:t>underlying the Award have been issued to the Holder. Stock Payments may, but are not required to, be made in lieu of base salary, bonus, fees or other cash compensation otherwise payable to such Eligible Individual.</w:t>
      </w:r>
    </w:p>
    <w:p>
      <w:pPr>
        <w:spacing w:after="0" w:line="14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19"/>
          <w:szCs w:val="19"/>
          <w:u w:val="single" w:color="auto"/>
          <w:color w:val="auto"/>
        </w:rPr>
        <w:t>Term.</w:t>
      </w:r>
    </w:p>
    <w:p>
      <w:pPr>
        <w:spacing w:after="0" w:line="184" w:lineRule="exact"/>
        <w:rPr>
          <w:sz w:val="20"/>
          <w:szCs w:val="20"/>
          <w:color w:val="auto"/>
        </w:rPr>
      </w:pPr>
    </w:p>
    <w:p>
      <w:pPr>
        <w:ind w:right="60" w:firstLine="648"/>
        <w:spacing w:after="0"/>
        <w:rPr>
          <w:sz w:val="20"/>
          <w:szCs w:val="20"/>
          <w:color w:val="auto"/>
        </w:rPr>
      </w:pPr>
      <w:r>
        <w:rPr>
          <w:rFonts w:ascii="Times New Roman" w:cs="Times New Roman" w:eastAsia="Times New Roman" w:hAnsi="Times New Roman"/>
          <w:sz w:val="20"/>
          <w:szCs w:val="20"/>
          <w:color w:val="auto"/>
        </w:rPr>
        <w:t>The term of a Performance Award and/or Stock Payment award shall be set by the Administrator in its sole discretion.</w:t>
      </w:r>
    </w:p>
    <w:p>
      <w:pPr>
        <w:spacing w:after="0" w:line="156"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8.4</w:t>
      </w:r>
      <w:r>
        <w:rPr>
          <w:sz w:val="20"/>
          <w:szCs w:val="20"/>
          <w:color w:val="auto"/>
        </w:rPr>
        <w:tab/>
      </w:r>
      <w:r>
        <w:rPr>
          <w:rFonts w:ascii="Times New Roman" w:cs="Times New Roman" w:eastAsia="Times New Roman" w:hAnsi="Times New Roman"/>
          <w:sz w:val="19"/>
          <w:szCs w:val="19"/>
          <w:u w:val="single" w:color="auto"/>
          <w:color w:val="auto"/>
        </w:rPr>
        <w:t>Purchase Price.</w:t>
      </w:r>
    </w:p>
    <w:p>
      <w:pPr>
        <w:spacing w:after="0" w:line="184" w:lineRule="exact"/>
        <w:rPr>
          <w:sz w:val="20"/>
          <w:szCs w:val="20"/>
          <w:color w:val="auto"/>
        </w:rPr>
      </w:pPr>
    </w:p>
    <w:p>
      <w:pPr>
        <w:ind w:right="180" w:firstLine="648"/>
        <w:spacing w:after="0" w:line="227" w:lineRule="auto"/>
        <w:rPr>
          <w:sz w:val="20"/>
          <w:szCs w:val="20"/>
          <w:color w:val="auto"/>
        </w:rPr>
      </w:pPr>
      <w:r>
        <w:rPr>
          <w:rFonts w:ascii="Times New Roman" w:cs="Times New Roman" w:eastAsia="Times New Roman" w:hAnsi="Times New Roman"/>
          <w:sz w:val="19"/>
          <w:szCs w:val="19"/>
          <w:color w:val="auto"/>
        </w:rPr>
        <w:t xml:space="preserve">The Administrator may establish the purchase price of a Performance Award or Shares distributed as a Stock Payment award;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value of the consideration shall not be less than the par value of a</w:t>
      </w:r>
    </w:p>
    <w:p>
      <w:pPr>
        <w:spacing w:after="0" w:line="222" w:lineRule="auto"/>
        <w:rPr>
          <w:sz w:val="20"/>
          <w:szCs w:val="20"/>
          <w:color w:val="auto"/>
        </w:rPr>
      </w:pPr>
      <w:r>
        <w:rPr>
          <w:rFonts w:ascii="Times New Roman" w:cs="Times New Roman" w:eastAsia="Times New Roman" w:hAnsi="Times New Roman"/>
          <w:sz w:val="19"/>
          <w:szCs w:val="19"/>
          <w:color w:val="auto"/>
        </w:rPr>
        <w:t>Share, unless otherwise permitted by Applicable Law. The purchase price per Share may, however, be less than the</w:t>
      </w:r>
    </w:p>
    <w:p>
      <w:pPr>
        <w:spacing w:after="0" w:line="1" w:lineRule="exact"/>
        <w:rPr>
          <w:sz w:val="20"/>
          <w:szCs w:val="20"/>
          <w:color w:val="auto"/>
        </w:rPr>
      </w:pPr>
    </w:p>
    <w:p>
      <w:pPr>
        <w:ind w:right="1020"/>
        <w:spacing w:after="0" w:line="221" w:lineRule="auto"/>
        <w:rPr>
          <w:sz w:val="20"/>
          <w:szCs w:val="20"/>
          <w:color w:val="auto"/>
        </w:rPr>
      </w:pPr>
      <w:r>
        <w:rPr>
          <w:rFonts w:ascii="Times New Roman" w:cs="Times New Roman" w:eastAsia="Times New Roman" w:hAnsi="Times New Roman"/>
          <w:sz w:val="20"/>
          <w:szCs w:val="20"/>
          <w:color w:val="auto"/>
        </w:rPr>
        <w:t>Fair Market Value. In all cases, legal consideration shall be required for all Shares issued pursuant to a Performance Award of as a Stock Payment award.</w:t>
      </w:r>
    </w:p>
    <w:p>
      <w:pPr>
        <w:spacing w:after="0" w:line="157"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8.5</w:t>
      </w:r>
      <w:r>
        <w:rPr>
          <w:sz w:val="20"/>
          <w:szCs w:val="20"/>
          <w:color w:val="auto"/>
        </w:rPr>
        <w:tab/>
      </w:r>
      <w:r>
        <w:rPr>
          <w:rFonts w:ascii="Times New Roman" w:cs="Times New Roman" w:eastAsia="Times New Roman" w:hAnsi="Times New Roman"/>
          <w:sz w:val="19"/>
          <w:szCs w:val="19"/>
          <w:u w:val="single" w:color="auto"/>
          <w:color w:val="auto"/>
        </w:rPr>
        <w:t>Maturity and Vesting.</w:t>
      </w:r>
    </w:p>
    <w:p>
      <w:pPr>
        <w:spacing w:after="0" w:line="184" w:lineRule="exact"/>
        <w:rPr>
          <w:sz w:val="20"/>
          <w:szCs w:val="20"/>
          <w:color w:val="auto"/>
        </w:rPr>
      </w:pPr>
    </w:p>
    <w:p>
      <w:pPr>
        <w:ind w:right="560" w:firstLine="648"/>
        <w:spacing w:after="0" w:line="227" w:lineRule="auto"/>
        <w:rPr>
          <w:sz w:val="20"/>
          <w:szCs w:val="20"/>
          <w:color w:val="auto"/>
        </w:rPr>
      </w:pPr>
      <w:r>
        <w:rPr>
          <w:rFonts w:ascii="Times New Roman" w:cs="Times New Roman" w:eastAsia="Times New Roman" w:hAnsi="Times New Roman"/>
          <w:sz w:val="19"/>
          <w:szCs w:val="19"/>
          <w:color w:val="auto"/>
        </w:rPr>
        <w:t>No portion of a Performance Award or Stock Payment award which is has not vested or matured at a Holder’s Termination of Service shall thereafter mature or vest, except as may be otherwise provided by the</w:t>
      </w:r>
    </w:p>
    <w:p>
      <w:pPr>
        <w:ind w:right="840"/>
        <w:spacing w:after="0" w:line="228" w:lineRule="auto"/>
        <w:rPr>
          <w:sz w:val="20"/>
          <w:szCs w:val="20"/>
          <w:color w:val="auto"/>
        </w:rPr>
      </w:pPr>
      <w:r>
        <w:rPr>
          <w:rFonts w:ascii="Times New Roman" w:cs="Times New Roman" w:eastAsia="Times New Roman" w:hAnsi="Times New Roman"/>
          <w:sz w:val="20"/>
          <w:szCs w:val="20"/>
          <w:color w:val="auto"/>
        </w:rPr>
        <w:t>Administrator either in the Award Agreement or by action of the Administrator following the grant of the Performance Award or Stock Payment award.</w:t>
      </w:r>
    </w:p>
    <w:p>
      <w:pPr>
        <w:spacing w:after="0" w:line="14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9.</w:t>
      </w:r>
    </w:p>
    <w:p>
      <w:pPr>
        <w:spacing w:after="0" w:line="17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0"/>
          <w:szCs w:val="20"/>
          <w:color w:val="auto"/>
        </w:rPr>
        <w:t>STOCK APPRECIATION RIGHTS</w:t>
      </w:r>
    </w:p>
    <w:p>
      <w:pPr>
        <w:spacing w:after="0" w:line="170"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9.1</w:t>
      </w:r>
      <w:r>
        <w:rPr>
          <w:sz w:val="20"/>
          <w:szCs w:val="20"/>
          <w:color w:val="auto"/>
        </w:rPr>
        <w:tab/>
      </w:r>
      <w:r>
        <w:rPr>
          <w:rFonts w:ascii="Times New Roman" w:cs="Times New Roman" w:eastAsia="Times New Roman" w:hAnsi="Times New Roman"/>
          <w:sz w:val="19"/>
          <w:szCs w:val="19"/>
          <w:u w:val="single" w:color="auto"/>
          <w:color w:val="auto"/>
        </w:rPr>
        <w:t>Grant of Stock Appreciation Rights.</w:t>
      </w:r>
    </w:p>
    <w:p>
      <w:pPr>
        <w:spacing w:after="0" w:line="184" w:lineRule="exact"/>
        <w:rPr>
          <w:sz w:val="20"/>
          <w:szCs w:val="20"/>
          <w:color w:val="auto"/>
        </w:rPr>
      </w:pPr>
    </w:p>
    <w:p>
      <w:pPr>
        <w:ind w:firstLine="1290"/>
        <w:spacing w:after="0" w:line="266" w:lineRule="auto"/>
        <w:tabs>
          <w:tab w:leader="none" w:pos="1997" w:val="left"/>
        </w:tabs>
        <w:numPr>
          <w:ilvl w:val="0"/>
          <w:numId w:val="2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Administrator is authorized to grant Stock Appreciation Rights to Eligible Individuals from time to time, in its sole discretion, on such terms and conditions as it may determine consistent with the Plan.</w:t>
      </w:r>
    </w:p>
    <w:p>
      <w:pPr>
        <w:spacing w:after="0" w:line="123" w:lineRule="exact"/>
        <w:rPr>
          <w:rFonts w:ascii="Times New Roman" w:cs="Times New Roman" w:eastAsia="Times New Roman" w:hAnsi="Times New Roman"/>
          <w:sz w:val="19"/>
          <w:szCs w:val="19"/>
          <w:color w:val="auto"/>
        </w:rPr>
      </w:pPr>
    </w:p>
    <w:p>
      <w:pPr>
        <w:ind w:right="220" w:firstLine="1290"/>
        <w:spacing w:after="0"/>
        <w:tabs>
          <w:tab w:leader="none" w:pos="2008"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Stock Appreciation Right shall entitle the Holder (or other person entitled to exercise the Stock Appreciation Right pursuant to the Plan) to exercise all or a specified portion of the Stock</w:t>
      </w:r>
    </w:p>
    <w:p>
      <w:pPr>
        <w:spacing w:after="0" w:line="161"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361315</wp:posOffset>
            </wp:positionV>
            <wp:extent cx="5871845" cy="508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0"/>
          </w:cols>
          <w:pgMar w:left="1360" w:top="441" w:right="1379" w:bottom="1440" w:gutter="0" w:footer="0" w:header="0"/>
        </w:sectPr>
      </w:pPr>
    </w:p>
    <w:bookmarkStart w:id="25" w:name="page26"/>
    <w:bookmarkEnd w:id="25"/>
    <w:p>
      <w:pPr>
        <w:ind w:right="140"/>
        <w:spacing w:after="0" w:line="234" w:lineRule="auto"/>
        <w:rPr>
          <w:sz w:val="20"/>
          <w:szCs w:val="20"/>
          <w:color w:val="auto"/>
        </w:rPr>
      </w:pPr>
      <w:r>
        <w:rPr>
          <w:rFonts w:ascii="Times New Roman" w:cs="Times New Roman" w:eastAsia="Times New Roman" w:hAnsi="Times New Roman"/>
          <w:sz w:val="19"/>
          <w:szCs w:val="19"/>
          <w:color w:val="auto"/>
        </w:rPr>
        <w:t>Appreciation Right (to the extent then exercisable pursuant to its terms) and to receive from the Company an amount determined by multiplying the difference obtained by subtracting the exercise price per share of the Stock</w:t>
      </w:r>
    </w:p>
    <w:p>
      <w:pPr>
        <w:spacing w:after="0" w:line="1" w:lineRule="exact"/>
        <w:rPr>
          <w:sz w:val="20"/>
          <w:szCs w:val="20"/>
          <w:color w:val="auto"/>
        </w:rPr>
      </w:pPr>
    </w:p>
    <w:p>
      <w:pPr>
        <w:ind w:right="380"/>
        <w:spacing w:after="0" w:line="215" w:lineRule="auto"/>
        <w:rPr>
          <w:sz w:val="20"/>
          <w:szCs w:val="20"/>
          <w:color w:val="auto"/>
        </w:rPr>
      </w:pPr>
      <w:r>
        <w:rPr>
          <w:rFonts w:ascii="Times New Roman" w:cs="Times New Roman" w:eastAsia="Times New Roman" w:hAnsi="Times New Roman"/>
          <w:sz w:val="19"/>
          <w:szCs w:val="19"/>
          <w:color w:val="auto"/>
        </w:rPr>
        <w:t>Appreciation Right from the Fair Market Value on the date of exercise of the Stock Appreciation Right by the number of Shares with respect to which the Stock Appreciation Right shall have been exercised, subject to any</w:t>
      </w:r>
    </w:p>
    <w:p>
      <w:pPr>
        <w:spacing w:after="0" w:line="222" w:lineRule="auto"/>
        <w:rPr>
          <w:sz w:val="20"/>
          <w:szCs w:val="20"/>
          <w:color w:val="auto"/>
        </w:rPr>
      </w:pPr>
      <w:r>
        <w:rPr>
          <w:rFonts w:ascii="Times New Roman" w:cs="Times New Roman" w:eastAsia="Times New Roman" w:hAnsi="Times New Roman"/>
          <w:sz w:val="19"/>
          <w:szCs w:val="19"/>
          <w:color w:val="auto"/>
        </w:rPr>
        <w:t>limitations the Administrator may impose. Except as described in (c) below, the exercise price per Share subject to</w:t>
      </w:r>
    </w:p>
    <w:p>
      <w:pPr>
        <w:ind w:right="40"/>
        <w:spacing w:after="0" w:line="221" w:lineRule="auto"/>
        <w:rPr>
          <w:sz w:val="20"/>
          <w:szCs w:val="20"/>
          <w:color w:val="auto"/>
        </w:rPr>
      </w:pPr>
      <w:r>
        <w:rPr>
          <w:rFonts w:ascii="Times New Roman" w:cs="Times New Roman" w:eastAsia="Times New Roman" w:hAnsi="Times New Roman"/>
          <w:sz w:val="20"/>
          <w:szCs w:val="20"/>
          <w:color w:val="auto"/>
        </w:rPr>
        <w:t>each Stock Appreciation Right shall be set by the Administrator, but shall not be less than 100% of the Fair Market Value on the date the Stock Appreciation Right is granted.</w:t>
      </w:r>
    </w:p>
    <w:p>
      <w:pPr>
        <w:spacing w:after="0" w:line="162" w:lineRule="exact"/>
        <w:rPr>
          <w:sz w:val="20"/>
          <w:szCs w:val="20"/>
          <w:color w:val="auto"/>
        </w:rPr>
      </w:pPr>
    </w:p>
    <w:p>
      <w:pPr>
        <w:ind w:right="60" w:firstLine="1290"/>
        <w:spacing w:after="0" w:line="214" w:lineRule="auto"/>
        <w:tabs>
          <w:tab w:leader="none" w:pos="1997"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Notwithstanding the foregoing provisions of Section 9.1(b) to the contrary, in the case of an Stock Appreciation Right that is a Substitute Award, the price per share of the Shares subject to such Stock Appreciation Right may be less than 100% of the Fair Market Value per share on the date of grant;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excess of: (i) the aggregate Fair Market Value (as of the date such Substitute Award is granted) of the Shares subject to the Substitute Award, over (ii) the aggregate exercise price thereof does not exceed the excess of: (x) the aggregate fair market value (as of the time immediately preceding the transaction giving rise to the Substitute Award, such fair market value to be determined by the Administrator) of the shares of the predecessor entity that were subject to the grant assumed or substituted for by the Company, over (y) the aggregate exercise price of such shares.</w:t>
      </w:r>
    </w:p>
    <w:p>
      <w:pPr>
        <w:spacing w:after="0" w:line="148"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9.2</w:t>
      </w:r>
      <w:r>
        <w:rPr>
          <w:sz w:val="20"/>
          <w:szCs w:val="20"/>
          <w:color w:val="auto"/>
        </w:rPr>
        <w:tab/>
      </w:r>
      <w:r>
        <w:rPr>
          <w:rFonts w:ascii="Times New Roman" w:cs="Times New Roman" w:eastAsia="Times New Roman" w:hAnsi="Times New Roman"/>
          <w:sz w:val="19"/>
          <w:szCs w:val="19"/>
          <w:u w:val="single" w:color="auto"/>
          <w:color w:val="auto"/>
        </w:rPr>
        <w:t>Stock Appreciation Right Vesting.</w:t>
      </w:r>
    </w:p>
    <w:p>
      <w:pPr>
        <w:spacing w:after="0" w:line="184" w:lineRule="exact"/>
        <w:rPr>
          <w:sz w:val="20"/>
          <w:szCs w:val="20"/>
          <w:color w:val="auto"/>
        </w:rPr>
      </w:pPr>
    </w:p>
    <w:p>
      <w:pPr>
        <w:ind w:right="100" w:firstLine="1290"/>
        <w:spacing w:after="0" w:line="230" w:lineRule="auto"/>
        <w:tabs>
          <w:tab w:leader="none" w:pos="1997" w:val="left"/>
        </w:tabs>
        <w:numPr>
          <w:ilvl w:val="0"/>
          <w:numId w:val="2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period during which the right to exercise, in whole or in part, a Stock Appreciation Right vests in the Holder shall be set by the Administrator and the Administrator may determine that a Stock Appreciation Right may not be exercised in whole or in part for a specified period after it is granted. Such vesting may be based on service with the Company or any Subsidiary, or any other criteria selected by the Administrator. At any time after grant of a Stock Appreciation Right, the Administrator may, in its sole discretion and subject to whatever terms and conditions it selects, accelerate the period during which a Stock Appreciation Right vests.</w:t>
      </w:r>
    </w:p>
    <w:p>
      <w:pPr>
        <w:spacing w:after="0" w:line="147" w:lineRule="exact"/>
        <w:rPr>
          <w:rFonts w:ascii="Times New Roman" w:cs="Times New Roman" w:eastAsia="Times New Roman" w:hAnsi="Times New Roman"/>
          <w:sz w:val="19"/>
          <w:szCs w:val="19"/>
          <w:color w:val="auto"/>
        </w:rPr>
      </w:pPr>
    </w:p>
    <w:p>
      <w:pPr>
        <w:ind w:firstLine="1290"/>
        <w:spacing w:after="0" w:line="230" w:lineRule="auto"/>
        <w:tabs>
          <w:tab w:leader="none" w:pos="200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 Stock Appreciation Right which is unexercisable at Termination of Service shall thereafter become exercisable, except as may be otherwise provided by the Administrator either in the Award Agreement or by action of the Administrator following the grant of the Stock Appreciation Right.</w:t>
      </w:r>
    </w:p>
    <w:p>
      <w:pPr>
        <w:spacing w:after="0" w:line="14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9.3</w:t>
      </w:r>
      <w:r>
        <w:rPr>
          <w:sz w:val="20"/>
          <w:szCs w:val="20"/>
          <w:color w:val="auto"/>
        </w:rPr>
        <w:tab/>
      </w:r>
      <w:r>
        <w:rPr>
          <w:rFonts w:ascii="Times New Roman" w:cs="Times New Roman" w:eastAsia="Times New Roman" w:hAnsi="Times New Roman"/>
          <w:sz w:val="19"/>
          <w:szCs w:val="19"/>
          <w:u w:val="single" w:color="auto"/>
          <w:color w:val="auto"/>
        </w:rPr>
        <w:t>Manner of Exercise.</w:t>
      </w:r>
    </w:p>
    <w:p>
      <w:pPr>
        <w:spacing w:after="0" w:line="184" w:lineRule="exact"/>
        <w:rPr>
          <w:sz w:val="20"/>
          <w:szCs w:val="20"/>
          <w:color w:val="auto"/>
        </w:rPr>
      </w:pPr>
    </w:p>
    <w:p>
      <w:pPr>
        <w:ind w:right="80" w:firstLine="648"/>
        <w:spacing w:after="0" w:line="230" w:lineRule="auto"/>
        <w:rPr>
          <w:sz w:val="20"/>
          <w:szCs w:val="20"/>
          <w:color w:val="auto"/>
        </w:rPr>
      </w:pPr>
      <w:r>
        <w:rPr>
          <w:rFonts w:ascii="Times New Roman" w:cs="Times New Roman" w:eastAsia="Times New Roman" w:hAnsi="Times New Roman"/>
          <w:sz w:val="20"/>
          <w:szCs w:val="20"/>
          <w:color w:val="auto"/>
        </w:rPr>
        <w:t>All or a portion of an exercisable Stock Appreciation Right shall be deemed exercised upon delivery of all of the following to the stock administrator of the Company, or such other person or entity designated by the Administrator, or his, her or its office, as applicable:</w:t>
      </w:r>
    </w:p>
    <w:p>
      <w:pPr>
        <w:spacing w:after="0" w:line="149" w:lineRule="exact"/>
        <w:rPr>
          <w:sz w:val="20"/>
          <w:szCs w:val="20"/>
          <w:color w:val="auto"/>
        </w:rPr>
      </w:pPr>
    </w:p>
    <w:p>
      <w:pPr>
        <w:jc w:val="both"/>
        <w:ind w:right="240" w:firstLine="1290"/>
        <w:spacing w:after="0" w:line="222" w:lineRule="auto"/>
        <w:tabs>
          <w:tab w:leader="none" w:pos="199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or electronic notice complying with the applicable rules established by the Administrator in accordance with Section 10.1 and 10.2 stating that the Stock Appreciation Right, or a portion thereof, is exercised. The notice shall be signed by the Holder or other person then entitled to exercise the Stock Appreciation Right or such portion of the Stock Appreciation Right;</w:t>
      </w:r>
    </w:p>
    <w:p>
      <w:pPr>
        <w:spacing w:after="0" w:line="161" w:lineRule="exact"/>
        <w:rPr>
          <w:rFonts w:ascii="Times New Roman" w:cs="Times New Roman" w:eastAsia="Times New Roman" w:hAnsi="Times New Roman"/>
          <w:sz w:val="20"/>
          <w:szCs w:val="20"/>
          <w:color w:val="auto"/>
        </w:rPr>
      </w:pPr>
    </w:p>
    <w:p>
      <w:pPr>
        <w:jc w:val="both"/>
        <w:ind w:right="260" w:firstLine="1290"/>
        <w:spacing w:after="0" w:line="230" w:lineRule="auto"/>
        <w:tabs>
          <w:tab w:leader="none" w:pos="2008"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representations and documents as the Administrator, in its sole discretion, deems necessary or advisable to effect compliance with Applicable Law. The Administrator may, in its sole discretion, also take whatever additional actions it deems appropriate to effect such compliance; and</w:t>
      </w:r>
    </w:p>
    <w:p>
      <w:pPr>
        <w:spacing w:after="0" w:line="148" w:lineRule="exact"/>
        <w:rPr>
          <w:rFonts w:ascii="Times New Roman" w:cs="Times New Roman" w:eastAsia="Times New Roman" w:hAnsi="Times New Roman"/>
          <w:sz w:val="20"/>
          <w:szCs w:val="20"/>
          <w:color w:val="auto"/>
        </w:rPr>
      </w:pPr>
    </w:p>
    <w:p>
      <w:pPr>
        <w:ind w:right="20" w:firstLine="1290"/>
        <w:spacing w:after="0" w:line="230" w:lineRule="auto"/>
        <w:tabs>
          <w:tab w:leader="none" w:pos="1997" w:val="left"/>
        </w:tabs>
        <w:numPr>
          <w:ilvl w:val="0"/>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Stock Appreciation Right shall be exercised by any person or persons other than the Holder, appropriate proof of the right of such person or persons to exercise the Stock Appreciation Right.</w:t>
      </w:r>
    </w:p>
    <w:p>
      <w:pPr>
        <w:spacing w:after="0" w:line="144"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9.4</w:t>
      </w:r>
      <w:r>
        <w:rPr>
          <w:sz w:val="20"/>
          <w:szCs w:val="20"/>
          <w:color w:val="auto"/>
        </w:rPr>
        <w:tab/>
      </w:r>
      <w:r>
        <w:rPr>
          <w:rFonts w:ascii="Times New Roman" w:cs="Times New Roman" w:eastAsia="Times New Roman" w:hAnsi="Times New Roman"/>
          <w:sz w:val="19"/>
          <w:szCs w:val="19"/>
          <w:u w:val="single" w:color="auto"/>
          <w:color w:val="auto"/>
        </w:rPr>
        <w:t>Stock Appreciation Right Term.</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301625</wp:posOffset>
            </wp:positionV>
            <wp:extent cx="587184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40"/>
          </w:cols>
          <w:pgMar w:left="1360" w:top="441" w:right="1399" w:bottom="1440" w:gutter="0" w:footer="0" w:header="0"/>
        </w:sectPr>
      </w:pPr>
    </w:p>
    <w:bookmarkStart w:id="26" w:name="page27"/>
    <w:bookmarkEnd w:id="26"/>
    <w:p>
      <w:pPr>
        <w:ind w:right="20" w:firstLine="648"/>
        <w:spacing w:after="0" w:line="236" w:lineRule="auto"/>
        <w:rPr>
          <w:sz w:val="20"/>
          <w:szCs w:val="20"/>
          <w:color w:val="auto"/>
        </w:rPr>
      </w:pPr>
      <w:r>
        <w:rPr>
          <w:rFonts w:ascii="Times New Roman" w:cs="Times New Roman" w:eastAsia="Times New Roman" w:hAnsi="Times New Roman"/>
          <w:sz w:val="19"/>
          <w:szCs w:val="19"/>
          <w:color w:val="auto"/>
        </w:rPr>
        <w:t>The term of each Stock Appreciation Right (the “</w:t>
      </w:r>
      <w:r>
        <w:rPr>
          <w:rFonts w:ascii="Times New Roman" w:cs="Times New Roman" w:eastAsia="Times New Roman" w:hAnsi="Times New Roman"/>
          <w:sz w:val="19"/>
          <w:szCs w:val="19"/>
          <w:b w:val="1"/>
          <w:bCs w:val="1"/>
          <w:i w:val="1"/>
          <w:iCs w:val="1"/>
          <w:color w:val="auto"/>
        </w:rPr>
        <w:t>Stock Appreciation Right Term</w:t>
      </w:r>
      <w:r>
        <w:rPr>
          <w:rFonts w:ascii="Times New Roman" w:cs="Times New Roman" w:eastAsia="Times New Roman" w:hAnsi="Times New Roman"/>
          <w:sz w:val="19"/>
          <w:szCs w:val="19"/>
          <w:color w:val="auto"/>
        </w:rPr>
        <w:t xml:space="preserve">”) shall be set by the Administrator in its sole discretion;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the term shall not be more than ten (10) years from the</w:t>
      </w:r>
    </w:p>
    <w:p>
      <w:pPr>
        <w:spacing w:after="0" w:line="1"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date the Stock Appreciation Right is granted. The Administrator shall determine the time period, including the time period following a Termination of Service, during which the Holder has the right to exercise a vested Stock</w:t>
      </w:r>
    </w:p>
    <w:p>
      <w:pPr>
        <w:spacing w:after="0" w:line="222" w:lineRule="auto"/>
        <w:rPr>
          <w:sz w:val="20"/>
          <w:szCs w:val="20"/>
          <w:color w:val="auto"/>
        </w:rPr>
      </w:pPr>
      <w:r>
        <w:rPr>
          <w:rFonts w:ascii="Times New Roman" w:cs="Times New Roman" w:eastAsia="Times New Roman" w:hAnsi="Times New Roman"/>
          <w:sz w:val="19"/>
          <w:szCs w:val="19"/>
          <w:color w:val="auto"/>
        </w:rPr>
        <w:t>Appreciation Right, which time period may not extend beyond the expiration date of the Stock Appreciation Right</w:t>
      </w:r>
    </w:p>
    <w:p>
      <w:pPr>
        <w:spacing w:after="0" w:line="215" w:lineRule="auto"/>
        <w:rPr>
          <w:sz w:val="20"/>
          <w:szCs w:val="20"/>
          <w:color w:val="auto"/>
        </w:rPr>
      </w:pPr>
      <w:r>
        <w:rPr>
          <w:rFonts w:ascii="Times New Roman" w:cs="Times New Roman" w:eastAsia="Times New Roman" w:hAnsi="Times New Roman"/>
          <w:sz w:val="19"/>
          <w:szCs w:val="19"/>
          <w:color w:val="auto"/>
        </w:rPr>
        <w:t>Term applicable to such Stock Appreciation Right. No portion of a Stock Appreciation Right that is not exercisable at a Holder’s Termination of Service shall thereafter be exercisable, except as may be otherwise provided by the</w:t>
      </w:r>
    </w:p>
    <w:p>
      <w:pPr>
        <w:spacing w:after="0" w:line="211" w:lineRule="auto"/>
        <w:rPr>
          <w:sz w:val="20"/>
          <w:szCs w:val="20"/>
          <w:color w:val="auto"/>
        </w:rPr>
      </w:pPr>
      <w:r>
        <w:rPr>
          <w:rFonts w:ascii="Times New Roman" w:cs="Times New Roman" w:eastAsia="Times New Roman" w:hAnsi="Times New Roman"/>
          <w:sz w:val="20"/>
          <w:szCs w:val="20"/>
          <w:color w:val="auto"/>
        </w:rPr>
        <w:t>Administrator either in the Award Agreement or by action of the Administrator following the grant of the Stock</w:t>
      </w:r>
    </w:p>
    <w:p>
      <w:pPr>
        <w:ind w:right="420"/>
        <w:spacing w:after="0" w:line="215" w:lineRule="auto"/>
        <w:rPr>
          <w:sz w:val="20"/>
          <w:szCs w:val="20"/>
          <w:color w:val="auto"/>
        </w:rPr>
      </w:pPr>
      <w:r>
        <w:rPr>
          <w:rFonts w:ascii="Times New Roman" w:cs="Times New Roman" w:eastAsia="Times New Roman" w:hAnsi="Times New Roman"/>
          <w:sz w:val="19"/>
          <w:szCs w:val="19"/>
          <w:color w:val="auto"/>
        </w:rPr>
        <w:t>Appreciation Right. Except as limited by the requirements of Section 409A of the Code and regulations and rulings thereunder, the Administrator may extend the Stock Appreciation Right Term of any outstanding Stock</w:t>
      </w:r>
    </w:p>
    <w:p>
      <w:pPr>
        <w:spacing w:after="0" w:line="211" w:lineRule="auto"/>
        <w:rPr>
          <w:sz w:val="20"/>
          <w:szCs w:val="20"/>
          <w:color w:val="auto"/>
        </w:rPr>
      </w:pPr>
      <w:r>
        <w:rPr>
          <w:rFonts w:ascii="Times New Roman" w:cs="Times New Roman" w:eastAsia="Times New Roman" w:hAnsi="Times New Roman"/>
          <w:sz w:val="20"/>
          <w:szCs w:val="20"/>
          <w:color w:val="auto"/>
        </w:rPr>
        <w:t>Appreciation Right, and may extend the time period during which vested Stock Appreciation Rights may be</w:t>
      </w:r>
    </w:p>
    <w:p>
      <w:pPr>
        <w:ind w:right="780"/>
        <w:spacing w:after="0" w:line="221" w:lineRule="auto"/>
        <w:rPr>
          <w:sz w:val="20"/>
          <w:szCs w:val="20"/>
          <w:color w:val="auto"/>
        </w:rPr>
      </w:pPr>
      <w:r>
        <w:rPr>
          <w:rFonts w:ascii="Times New Roman" w:cs="Times New Roman" w:eastAsia="Times New Roman" w:hAnsi="Times New Roman"/>
          <w:sz w:val="20"/>
          <w:szCs w:val="20"/>
          <w:color w:val="auto"/>
        </w:rPr>
        <w:t>exercised, in connection with any Termination of Service of the Holder, and may amend any other term or condition of such Stock Appreciation Right relating to such a Termination of Service.</w:t>
      </w:r>
    </w:p>
    <w:p>
      <w:pPr>
        <w:spacing w:after="0" w:line="157" w:lineRule="exact"/>
        <w:rPr>
          <w:sz w:val="20"/>
          <w:szCs w:val="20"/>
          <w:color w:val="auto"/>
        </w:rPr>
      </w:pPr>
    </w:p>
    <w:p>
      <w:pPr>
        <w:ind w:left="640"/>
        <w:spacing w:after="0"/>
        <w:tabs>
          <w:tab w:leader="none" w:pos="1360" w:val="left"/>
        </w:tabs>
        <w:rPr>
          <w:sz w:val="20"/>
          <w:szCs w:val="20"/>
          <w:color w:val="auto"/>
        </w:rPr>
      </w:pPr>
      <w:r>
        <w:rPr>
          <w:rFonts w:ascii="Times New Roman" w:cs="Times New Roman" w:eastAsia="Times New Roman" w:hAnsi="Times New Roman"/>
          <w:sz w:val="22"/>
          <w:szCs w:val="22"/>
          <w:color w:val="auto"/>
        </w:rPr>
        <w:t>9.5</w:t>
      </w:r>
      <w:r>
        <w:rPr>
          <w:sz w:val="20"/>
          <w:szCs w:val="20"/>
          <w:color w:val="auto"/>
        </w:rPr>
        <w:tab/>
      </w:r>
      <w:r>
        <w:rPr>
          <w:rFonts w:ascii="Times New Roman" w:cs="Times New Roman" w:eastAsia="Times New Roman" w:hAnsi="Times New Roman"/>
          <w:sz w:val="19"/>
          <w:szCs w:val="19"/>
          <w:u w:val="single" w:color="auto"/>
          <w:color w:val="auto"/>
        </w:rPr>
        <w:t>Payment.</w:t>
      </w:r>
    </w:p>
    <w:p>
      <w:pPr>
        <w:spacing w:after="0" w:line="18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9"/>
          <w:szCs w:val="19"/>
          <w:color w:val="auto"/>
        </w:rPr>
        <w:t>Payment of the amounts payable with respect to Stock Appreciation Rights pursuant to this Article 9 shall</w:t>
      </w:r>
    </w:p>
    <w:p>
      <w:pPr>
        <w:spacing w:after="0" w:line="6" w:lineRule="exact"/>
        <w:rPr>
          <w:sz w:val="20"/>
          <w:szCs w:val="20"/>
          <w:color w:val="auto"/>
        </w:rPr>
      </w:pPr>
    </w:p>
    <w:p>
      <w:pPr>
        <w:ind w:right="300"/>
        <w:spacing w:after="0" w:line="221" w:lineRule="auto"/>
        <w:rPr>
          <w:sz w:val="20"/>
          <w:szCs w:val="20"/>
          <w:color w:val="auto"/>
        </w:rPr>
      </w:pPr>
      <w:r>
        <w:rPr>
          <w:rFonts w:ascii="Times New Roman" w:cs="Times New Roman" w:eastAsia="Times New Roman" w:hAnsi="Times New Roman"/>
          <w:sz w:val="20"/>
          <w:szCs w:val="20"/>
          <w:color w:val="auto"/>
        </w:rPr>
        <w:t>be in cash, Shares (based on its Fair Market Value as of the date the Stock Appreciation Right is exercised), or a combination of both, as determined by the Administrator.</w:t>
      </w:r>
    </w:p>
    <w:p>
      <w:pPr>
        <w:spacing w:after="0" w:line="15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ARTICLE 10.</w:t>
      </w:r>
    </w:p>
    <w:p>
      <w:pPr>
        <w:spacing w:after="0" w:line="161"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0"/>
          <w:szCs w:val="20"/>
          <w:color w:val="auto"/>
        </w:rPr>
        <w:t>ADDITIONAL TERMS OF AWARDS</w:t>
      </w:r>
    </w:p>
    <w:p>
      <w:pPr>
        <w:spacing w:after="0" w:line="184"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10.1</w:t>
      </w:r>
      <w:r>
        <w:rPr>
          <w:sz w:val="20"/>
          <w:szCs w:val="20"/>
          <w:color w:val="auto"/>
        </w:rPr>
        <w:tab/>
      </w:r>
      <w:r>
        <w:rPr>
          <w:rFonts w:ascii="Times New Roman" w:cs="Times New Roman" w:eastAsia="Times New Roman" w:hAnsi="Times New Roman"/>
          <w:sz w:val="19"/>
          <w:szCs w:val="19"/>
          <w:u w:val="single" w:color="auto"/>
          <w:color w:val="auto"/>
        </w:rPr>
        <w:t>Payment.</w:t>
      </w:r>
    </w:p>
    <w:p>
      <w:pPr>
        <w:spacing w:after="0" w:line="184" w:lineRule="exact"/>
        <w:rPr>
          <w:sz w:val="20"/>
          <w:szCs w:val="20"/>
          <w:color w:val="auto"/>
        </w:rPr>
      </w:pPr>
    </w:p>
    <w:p>
      <w:pPr>
        <w:ind w:right="460" w:firstLine="648"/>
        <w:spacing w:after="0" w:line="227" w:lineRule="auto"/>
        <w:rPr>
          <w:sz w:val="20"/>
          <w:szCs w:val="20"/>
          <w:color w:val="auto"/>
        </w:rPr>
      </w:pPr>
      <w:r>
        <w:rPr>
          <w:rFonts w:ascii="Times New Roman" w:cs="Times New Roman" w:eastAsia="Times New Roman" w:hAnsi="Times New Roman"/>
          <w:sz w:val="19"/>
          <w:szCs w:val="19"/>
          <w:color w:val="auto"/>
        </w:rPr>
        <w:t>The Administrator shall determine the methods by which payments by any Holder with respect to any Awards granted under the Plan shall be made, including, without limitation: (a) cash or check, (b) Shares</w:t>
      </w:r>
    </w:p>
    <w:p>
      <w:pPr>
        <w:spacing w:after="0" w:line="222" w:lineRule="auto"/>
        <w:rPr>
          <w:sz w:val="20"/>
          <w:szCs w:val="20"/>
          <w:color w:val="auto"/>
        </w:rPr>
      </w:pPr>
      <w:r>
        <w:rPr>
          <w:rFonts w:ascii="Times New Roman" w:cs="Times New Roman" w:eastAsia="Times New Roman" w:hAnsi="Times New Roman"/>
          <w:sz w:val="19"/>
          <w:szCs w:val="19"/>
          <w:color w:val="auto"/>
        </w:rPr>
        <w:t>(including, in the case of payment of the exercise price of an Award, Shares issuable pursuant to the exercise of the</w:t>
      </w:r>
    </w:p>
    <w:p>
      <w:pPr>
        <w:spacing w:after="0" w:line="1" w:lineRule="exact"/>
        <w:rPr>
          <w:sz w:val="20"/>
          <w:szCs w:val="20"/>
          <w:color w:val="auto"/>
        </w:rPr>
      </w:pPr>
    </w:p>
    <w:p>
      <w:pPr>
        <w:ind w:right="220"/>
        <w:spacing w:after="0" w:line="215" w:lineRule="auto"/>
        <w:rPr>
          <w:sz w:val="20"/>
          <w:szCs w:val="20"/>
          <w:color w:val="auto"/>
        </w:rPr>
      </w:pPr>
      <w:r>
        <w:rPr>
          <w:rFonts w:ascii="Times New Roman" w:cs="Times New Roman" w:eastAsia="Times New Roman" w:hAnsi="Times New Roman"/>
          <w:sz w:val="19"/>
          <w:szCs w:val="19"/>
          <w:color w:val="auto"/>
        </w:rPr>
        <w:t>Award) or Shares held for such period of time as may be required by the Administrator in order to avoid adverse accounting consequences, in each case, having a Fair Market Value on the date of delivery equal to the aggregate</w:t>
      </w:r>
    </w:p>
    <w:p>
      <w:pPr>
        <w:spacing w:after="0" w:line="222" w:lineRule="auto"/>
        <w:rPr>
          <w:sz w:val="20"/>
          <w:szCs w:val="20"/>
          <w:color w:val="auto"/>
        </w:rPr>
      </w:pPr>
      <w:r>
        <w:rPr>
          <w:rFonts w:ascii="Times New Roman" w:cs="Times New Roman" w:eastAsia="Times New Roman" w:hAnsi="Times New Roman"/>
          <w:sz w:val="19"/>
          <w:szCs w:val="19"/>
          <w:color w:val="auto"/>
        </w:rPr>
        <w:t>payments required, (c) delivery of a written or electronic notice that the Holder has placed a market sell order with</w:t>
      </w:r>
    </w:p>
    <w:p>
      <w:pPr>
        <w:ind w:right="240"/>
        <w:spacing w:after="0" w:line="215" w:lineRule="auto"/>
        <w:rPr>
          <w:sz w:val="20"/>
          <w:szCs w:val="20"/>
          <w:color w:val="auto"/>
        </w:rPr>
      </w:pPr>
      <w:r>
        <w:rPr>
          <w:rFonts w:ascii="Times New Roman" w:cs="Times New Roman" w:eastAsia="Times New Roman" w:hAnsi="Times New Roman"/>
          <w:sz w:val="19"/>
          <w:szCs w:val="19"/>
          <w:color w:val="auto"/>
        </w:rPr>
        <w:t>a broker with respect to Shares then issuable upon exercise or vesting of an Award, and that the broker has been directed to pay a sufficient portion of the net proceeds of the sale to the Company in satisfaction of the aggregate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payments required;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payment of such proceeds is then made to the Company upon settlement of such</w:t>
      </w:r>
    </w:p>
    <w:p>
      <w:pPr>
        <w:ind w:left="40" w:right="60" w:hanging="48"/>
        <w:spacing w:after="0" w:line="215" w:lineRule="auto"/>
        <w:rPr>
          <w:sz w:val="20"/>
          <w:szCs w:val="20"/>
          <w:color w:val="auto"/>
        </w:rPr>
      </w:pPr>
      <w:r>
        <w:rPr>
          <w:rFonts w:ascii="Times New Roman" w:cs="Times New Roman" w:eastAsia="Times New Roman" w:hAnsi="Times New Roman"/>
          <w:sz w:val="19"/>
          <w:szCs w:val="19"/>
          <w:color w:val="auto"/>
        </w:rPr>
        <w:t>sale, (d) other form of legal consideration acceptable to the Administrator, or (e) any combination of the foregoing. The Administrator shall also determine the methods by which Shares shall be delivered or deemed to be delivered</w:t>
      </w:r>
    </w:p>
    <w:p>
      <w:pPr>
        <w:spacing w:after="0" w:line="211" w:lineRule="auto"/>
        <w:rPr>
          <w:sz w:val="20"/>
          <w:szCs w:val="20"/>
          <w:color w:val="auto"/>
        </w:rPr>
      </w:pPr>
      <w:r>
        <w:rPr>
          <w:rFonts w:ascii="Times New Roman" w:cs="Times New Roman" w:eastAsia="Times New Roman" w:hAnsi="Times New Roman"/>
          <w:sz w:val="20"/>
          <w:szCs w:val="20"/>
          <w:color w:val="auto"/>
        </w:rPr>
        <w:t>to Holders. Notwithstanding any other provision of the Plan to the contrary, no Holder who is a Director or an</w:t>
      </w:r>
    </w:p>
    <w:p>
      <w:pPr>
        <w:ind w:right="80"/>
        <w:spacing w:after="0" w:line="215" w:lineRule="auto"/>
        <w:rPr>
          <w:sz w:val="20"/>
          <w:szCs w:val="20"/>
          <w:color w:val="auto"/>
        </w:rPr>
      </w:pPr>
      <w:r>
        <w:rPr>
          <w:rFonts w:ascii="Times New Roman" w:cs="Times New Roman" w:eastAsia="Times New Roman" w:hAnsi="Times New Roman"/>
          <w:sz w:val="19"/>
          <w:szCs w:val="19"/>
          <w:color w:val="auto"/>
        </w:rPr>
        <w:t>“executive officer” of the Company within the meaning of Section 13(k) of the Exchange Act shall be permitted to make payment with respect to any Awards granted under the Plan, or continue any extension of credit with respect</w:t>
      </w:r>
    </w:p>
    <w:p>
      <w:pPr>
        <w:spacing w:after="0" w:line="228" w:lineRule="auto"/>
        <w:rPr>
          <w:sz w:val="20"/>
          <w:szCs w:val="20"/>
          <w:color w:val="auto"/>
        </w:rPr>
      </w:pPr>
      <w:r>
        <w:rPr>
          <w:rFonts w:ascii="Times New Roman" w:cs="Times New Roman" w:eastAsia="Times New Roman" w:hAnsi="Times New Roman"/>
          <w:sz w:val="20"/>
          <w:szCs w:val="20"/>
          <w:color w:val="auto"/>
        </w:rPr>
        <w:t>to such payment, with a loan from the Company or a loan arranged by the Company in violation of Section 13(k) of the Exchange Act.</w:t>
      </w:r>
    </w:p>
    <w:p>
      <w:pPr>
        <w:spacing w:after="0" w:line="144"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10.2</w:t>
      </w:r>
      <w:r>
        <w:rPr>
          <w:sz w:val="20"/>
          <w:szCs w:val="20"/>
          <w:color w:val="auto"/>
        </w:rPr>
        <w:tab/>
      </w:r>
      <w:r>
        <w:rPr>
          <w:rFonts w:ascii="Times New Roman" w:cs="Times New Roman" w:eastAsia="Times New Roman" w:hAnsi="Times New Roman"/>
          <w:sz w:val="19"/>
          <w:szCs w:val="19"/>
          <w:u w:val="single" w:color="auto"/>
          <w:color w:val="auto"/>
        </w:rPr>
        <w:t>Tax Withholding.</w:t>
      </w:r>
    </w:p>
    <w:p>
      <w:pPr>
        <w:spacing w:after="0" w:line="184" w:lineRule="exact"/>
        <w:rPr>
          <w:sz w:val="20"/>
          <w:szCs w:val="20"/>
          <w:color w:val="auto"/>
        </w:rPr>
      </w:pPr>
    </w:p>
    <w:p>
      <w:pPr>
        <w:ind w:right="40" w:firstLine="648"/>
        <w:spacing w:after="0" w:line="234" w:lineRule="auto"/>
        <w:rPr>
          <w:sz w:val="20"/>
          <w:szCs w:val="20"/>
          <w:color w:val="auto"/>
        </w:rPr>
      </w:pPr>
      <w:r>
        <w:rPr>
          <w:rFonts w:ascii="Times New Roman" w:cs="Times New Roman" w:eastAsia="Times New Roman" w:hAnsi="Times New Roman"/>
          <w:sz w:val="19"/>
          <w:szCs w:val="19"/>
          <w:color w:val="auto"/>
        </w:rPr>
        <w:t>The Company or any Subsidiary shall have the authority and the right to deduct or withhold, or require a Holder to remit to the Company, an amount sufficient to satisfy federal, state, local and foreign taxes (including the</w:t>
      </w:r>
    </w:p>
    <w:p>
      <w:pPr>
        <w:spacing w:after="0" w:line="1" w:lineRule="exact"/>
        <w:rPr>
          <w:sz w:val="20"/>
          <w:szCs w:val="20"/>
          <w:color w:val="auto"/>
        </w:rPr>
      </w:pPr>
    </w:p>
    <w:p>
      <w:pPr>
        <w:ind w:right="80"/>
        <w:spacing w:after="0" w:line="215" w:lineRule="auto"/>
        <w:rPr>
          <w:sz w:val="20"/>
          <w:szCs w:val="20"/>
          <w:color w:val="auto"/>
        </w:rPr>
      </w:pPr>
      <w:r>
        <w:rPr>
          <w:rFonts w:ascii="Times New Roman" w:cs="Times New Roman" w:eastAsia="Times New Roman" w:hAnsi="Times New Roman"/>
          <w:sz w:val="19"/>
          <w:szCs w:val="19"/>
          <w:color w:val="auto"/>
        </w:rPr>
        <w:t>Holder’s FICA or employment tax obligation) required by law to be withheld with respect to any taxable event concerning a Holder arising as a result of the Plan. The Administrator may in its sole discretion and in satisfaction</w:t>
      </w:r>
    </w:p>
    <w:p>
      <w:pPr>
        <w:spacing w:after="0" w:line="222" w:lineRule="auto"/>
        <w:rPr>
          <w:sz w:val="20"/>
          <w:szCs w:val="20"/>
          <w:color w:val="auto"/>
        </w:rPr>
      </w:pPr>
      <w:r>
        <w:rPr>
          <w:rFonts w:ascii="Times New Roman" w:cs="Times New Roman" w:eastAsia="Times New Roman" w:hAnsi="Times New Roman"/>
          <w:sz w:val="19"/>
          <w:szCs w:val="19"/>
          <w:color w:val="auto"/>
        </w:rPr>
        <w:t>of the foregoing requirement withhold, or allow a Holder to elect to have the Company withhold, Shares otherwise</w:t>
      </w:r>
    </w:p>
    <w:p>
      <w:pPr>
        <w:ind w:right="260"/>
        <w:spacing w:after="0" w:line="221" w:lineRule="auto"/>
        <w:rPr>
          <w:sz w:val="20"/>
          <w:szCs w:val="20"/>
          <w:color w:val="auto"/>
        </w:rPr>
      </w:pPr>
      <w:r>
        <w:rPr>
          <w:rFonts w:ascii="Times New Roman" w:cs="Times New Roman" w:eastAsia="Times New Roman" w:hAnsi="Times New Roman"/>
          <w:sz w:val="20"/>
          <w:szCs w:val="20"/>
          <w:color w:val="auto"/>
        </w:rPr>
        <w:t>issuable under an Award (or allow the surrender of Shares). The number of Shares which may be so withheld or surrendered shall be based on the Holder’s minimum applicable tax withholding rate for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301625</wp:posOffset>
            </wp:positionV>
            <wp:extent cx="5871845"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60"/>
          </w:cols>
          <w:pgMar w:left="1360" w:top="437" w:right="1379" w:bottom="1440" w:gutter="0" w:footer="0" w:header="0"/>
        </w:sectPr>
      </w:pPr>
    </w:p>
    <w:bookmarkStart w:id="27" w:name="page28"/>
    <w:bookmarkEnd w:id="27"/>
    <w:p>
      <w:pPr>
        <w:ind w:left="6" w:right="580"/>
        <w:spacing w:after="0" w:line="234" w:lineRule="auto"/>
        <w:rPr>
          <w:sz w:val="20"/>
          <w:szCs w:val="20"/>
          <w:color w:val="auto"/>
        </w:rPr>
      </w:pPr>
      <w:r>
        <w:rPr>
          <w:rFonts w:ascii="Times New Roman" w:cs="Times New Roman" w:eastAsia="Times New Roman" w:hAnsi="Times New Roman"/>
          <w:sz w:val="19"/>
          <w:szCs w:val="19"/>
          <w:color w:val="auto"/>
        </w:rPr>
        <w:t>federal, state, local and foreign income tax and payroll tax purposes that are applicable to such supplemental taxable income, or such other rate permitted by the Administrator that does not cause adverse accounting</w:t>
      </w:r>
    </w:p>
    <w:p>
      <w:pPr>
        <w:spacing w:after="0" w:line="1" w:lineRule="exact"/>
        <w:rPr>
          <w:sz w:val="20"/>
          <w:szCs w:val="20"/>
          <w:color w:val="auto"/>
        </w:rPr>
      </w:pPr>
    </w:p>
    <w:p>
      <w:pPr>
        <w:ind w:left="6" w:right="60"/>
        <w:spacing w:after="0" w:line="215" w:lineRule="auto"/>
        <w:rPr>
          <w:sz w:val="20"/>
          <w:szCs w:val="20"/>
          <w:color w:val="auto"/>
        </w:rPr>
      </w:pPr>
      <w:r>
        <w:rPr>
          <w:rFonts w:ascii="Times New Roman" w:cs="Times New Roman" w:eastAsia="Times New Roman" w:hAnsi="Times New Roman"/>
          <w:sz w:val="19"/>
          <w:szCs w:val="19"/>
          <w:color w:val="auto"/>
        </w:rPr>
        <w:t>consequences. The Administrator shall determine the fair market value of the Shares, consistent with applicable provisions of the Code, for tax withholding obligations due in connection with a broker-assisted cashless Option or</w:t>
      </w:r>
    </w:p>
    <w:p>
      <w:pPr>
        <w:ind w:left="6" w:right="480"/>
        <w:spacing w:after="0" w:line="228" w:lineRule="auto"/>
        <w:rPr>
          <w:sz w:val="20"/>
          <w:szCs w:val="20"/>
          <w:color w:val="auto"/>
        </w:rPr>
      </w:pPr>
      <w:r>
        <w:rPr>
          <w:rFonts w:ascii="Times New Roman" w:cs="Times New Roman" w:eastAsia="Times New Roman" w:hAnsi="Times New Roman"/>
          <w:sz w:val="20"/>
          <w:szCs w:val="20"/>
          <w:color w:val="auto"/>
        </w:rPr>
        <w:t>Stock Appreciation Right exercise involving the sale of Shares to pay the Option or Stock Appreciation Right exercise price or any tax withholding obligation.</w:t>
      </w:r>
    </w:p>
    <w:p>
      <w:pPr>
        <w:spacing w:after="0" w:line="144" w:lineRule="exact"/>
        <w:rPr>
          <w:sz w:val="20"/>
          <w:szCs w:val="20"/>
          <w:color w:val="auto"/>
        </w:rPr>
      </w:pPr>
    </w:p>
    <w:p>
      <w:pPr>
        <w:ind w:left="646"/>
        <w:spacing w:after="0"/>
        <w:tabs>
          <w:tab w:leader="none" w:pos="1406" w:val="left"/>
        </w:tabs>
        <w:rPr>
          <w:sz w:val="20"/>
          <w:szCs w:val="20"/>
          <w:color w:val="auto"/>
        </w:rPr>
      </w:pPr>
      <w:r>
        <w:rPr>
          <w:rFonts w:ascii="Times New Roman" w:cs="Times New Roman" w:eastAsia="Times New Roman" w:hAnsi="Times New Roman"/>
          <w:sz w:val="22"/>
          <w:szCs w:val="22"/>
          <w:color w:val="auto"/>
        </w:rPr>
        <w:t>10.3</w:t>
      </w:r>
      <w:r>
        <w:rPr>
          <w:sz w:val="20"/>
          <w:szCs w:val="20"/>
          <w:color w:val="auto"/>
        </w:rPr>
        <w:tab/>
      </w:r>
      <w:r>
        <w:rPr>
          <w:rFonts w:ascii="Times New Roman" w:cs="Times New Roman" w:eastAsia="Times New Roman" w:hAnsi="Times New Roman"/>
          <w:sz w:val="19"/>
          <w:szCs w:val="19"/>
          <w:u w:val="single" w:color="auto"/>
          <w:color w:val="auto"/>
        </w:rPr>
        <w:t>Transferability of Awards.</w:t>
      </w:r>
    </w:p>
    <w:p>
      <w:pPr>
        <w:spacing w:after="0" w:line="184" w:lineRule="exact"/>
        <w:rPr>
          <w:sz w:val="20"/>
          <w:szCs w:val="20"/>
          <w:color w:val="auto"/>
        </w:rPr>
      </w:pPr>
    </w:p>
    <w:p>
      <w:pPr>
        <w:ind w:left="2006" w:hanging="710"/>
        <w:spacing w:after="0"/>
        <w:tabs>
          <w:tab w:leader="none" w:pos="2006" w:val="left"/>
        </w:tabs>
        <w:numPr>
          <w:ilvl w:val="0"/>
          <w:numId w:val="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Section 10.3(b):</w:t>
      </w:r>
    </w:p>
    <w:p>
      <w:pPr>
        <w:spacing w:after="0" w:line="220" w:lineRule="exact"/>
        <w:rPr>
          <w:rFonts w:ascii="Times New Roman" w:cs="Times New Roman" w:eastAsia="Times New Roman" w:hAnsi="Times New Roman"/>
          <w:sz w:val="20"/>
          <w:szCs w:val="20"/>
          <w:color w:val="auto"/>
        </w:rPr>
      </w:pPr>
    </w:p>
    <w:p>
      <w:pPr>
        <w:jc w:val="both"/>
        <w:ind w:left="6" w:right="160" w:firstLine="1938"/>
        <w:spacing w:after="0" w:line="216" w:lineRule="auto"/>
        <w:tabs>
          <w:tab w:leader="none" w:pos="2685"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Award under the Plan may be sold, pledged, encumbered, assigned or transferred in any manner other than by will or the laws of descent and distribution or, subject to the consent of the Administrator, pursuant to a DRO, unless and until such Award has been exercised, or the Shares underlying such Award have been issued, and all restrictions, including without limitation risks of forfeiture, applicable to such Shares have lapsed;</w:t>
      </w:r>
    </w:p>
    <w:p>
      <w:pPr>
        <w:spacing w:after="0" w:line="185" w:lineRule="exact"/>
        <w:rPr>
          <w:rFonts w:ascii="Times New Roman" w:cs="Times New Roman" w:eastAsia="Times New Roman" w:hAnsi="Times New Roman"/>
          <w:sz w:val="22"/>
          <w:szCs w:val="22"/>
          <w:color w:val="auto"/>
        </w:rPr>
      </w:pPr>
    </w:p>
    <w:p>
      <w:pPr>
        <w:ind w:left="6" w:right="140" w:firstLine="1938"/>
        <w:spacing w:after="0" w:line="214" w:lineRule="auto"/>
        <w:tabs>
          <w:tab w:leader="none" w:pos="270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No Award or interest or right therein shall be liable for the debts, contracts or engagements of the Holder or his or her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 and</w:t>
      </w:r>
    </w:p>
    <w:p>
      <w:pPr>
        <w:spacing w:after="0" w:line="188" w:lineRule="exact"/>
        <w:rPr>
          <w:rFonts w:ascii="Times New Roman" w:cs="Times New Roman" w:eastAsia="Times New Roman" w:hAnsi="Times New Roman"/>
          <w:sz w:val="22"/>
          <w:szCs w:val="22"/>
          <w:color w:val="auto"/>
        </w:rPr>
      </w:pPr>
    </w:p>
    <w:p>
      <w:pPr>
        <w:ind w:left="6" w:firstLine="1938"/>
        <w:spacing w:after="0" w:line="213" w:lineRule="auto"/>
        <w:tabs>
          <w:tab w:leader="none" w:pos="2724"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During the lifetime of the Holder, only the Holder may exercise an Award (or any portion thereof) granted to him under the Plan, unless it has been disposed of pursuant to a DRO; after the death of the Holder, any exercisable portion of an Award may, prior to the time when such portion becomes unexercisable under the Plan or the applicable Award Agreement, be exercised by Holder’s personal representative or by any person empowered to do so under the deceased Holder’s will or under the then applicable laws of descent and distribution.</w:t>
      </w:r>
    </w:p>
    <w:p>
      <w:pPr>
        <w:spacing w:after="0" w:line="156" w:lineRule="exact"/>
        <w:rPr>
          <w:rFonts w:ascii="Times New Roman" w:cs="Times New Roman" w:eastAsia="Times New Roman" w:hAnsi="Times New Roman"/>
          <w:sz w:val="22"/>
          <w:szCs w:val="22"/>
          <w:color w:val="auto"/>
        </w:rPr>
      </w:pPr>
    </w:p>
    <w:p>
      <w:pPr>
        <w:ind w:left="6" w:right="100" w:firstLine="1290"/>
        <w:spacing w:after="0" w:line="224" w:lineRule="auto"/>
        <w:tabs>
          <w:tab w:leader="none" w:pos="2014" w:val="left"/>
        </w:tabs>
        <w:numPr>
          <w:ilvl w:val="0"/>
          <w:numId w:val="2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10.3(a), the Administrator, in its sole discretion, may determine to permit a Holder to transfer an Award other than an Incentive Stock Option to any one or more Permitted Transferees, subject to the following terms and conditions: (i) an Award transferred to a Permitted Transferee shall not be assignable or transferable by the Permitted Transferee other than by will or the laws of descent and distribution; (ii) an Award transferred to a Permitted Transferee shall continue to be subject to all the terms and</w:t>
      </w:r>
    </w:p>
    <w:p>
      <w:pPr>
        <w:ind w:left="6"/>
        <w:spacing w:after="0" w:line="198" w:lineRule="auto"/>
        <w:rPr>
          <w:sz w:val="20"/>
          <w:szCs w:val="20"/>
          <w:color w:val="auto"/>
        </w:rPr>
      </w:pPr>
      <w:r>
        <w:rPr>
          <w:rFonts w:ascii="Times New Roman" w:cs="Times New Roman" w:eastAsia="Times New Roman" w:hAnsi="Times New Roman"/>
          <w:sz w:val="20"/>
          <w:szCs w:val="20"/>
          <w:color w:val="auto"/>
        </w:rPr>
        <w:t>conditions of the Award as applicable to the original Holder (other than the ability to further transfer the Award);</w:t>
      </w:r>
    </w:p>
    <w:p>
      <w:pPr>
        <w:spacing w:after="0" w:line="1" w:lineRule="exact"/>
        <w:rPr>
          <w:sz w:val="20"/>
          <w:szCs w:val="20"/>
          <w:color w:val="auto"/>
        </w:rPr>
      </w:pPr>
    </w:p>
    <w:p>
      <w:pPr>
        <w:ind w:left="6" w:right="140" w:hanging="6"/>
        <w:spacing w:after="0" w:line="216" w:lineRule="auto"/>
        <w:tabs>
          <w:tab w:leader="none" w:pos="352" w:val="left"/>
        </w:tabs>
        <w:numPr>
          <w:ilvl w:val="0"/>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transfer of an Award to a Permitted Transferee shall be without consideration; and (iv) the Holder and the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w:t>
      </w:r>
    </w:p>
    <w:p>
      <w:pPr>
        <w:spacing w:after="0" w:line="162" w:lineRule="exact"/>
        <w:rPr>
          <w:rFonts w:ascii="Times New Roman" w:cs="Times New Roman" w:eastAsia="Times New Roman" w:hAnsi="Times New Roman"/>
          <w:sz w:val="20"/>
          <w:szCs w:val="20"/>
          <w:color w:val="auto"/>
        </w:rPr>
      </w:pPr>
    </w:p>
    <w:p>
      <w:pPr>
        <w:ind w:left="6" w:firstLine="1290"/>
        <w:spacing w:after="0" w:line="211" w:lineRule="auto"/>
        <w:tabs>
          <w:tab w:leader="none" w:pos="2003" w:val="left"/>
        </w:tabs>
        <w:numPr>
          <w:ilvl w:val="1"/>
          <w:numId w:val="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Section 10.3(a), a Holder may, in the manner determined by the Administrator, designate a beneficiary to exercise the rights of the Holder and to receive any distribution with respect to any Award upon the Holder’s death. A beneficiary, legal guardian, legal representative, or other person claiming any rights pursuant to the Plan is subject to all terms and conditions of the Plan and any Award Agreement applicable to the Holder, except to the extent the Plan and the Award Agreement otherwise provide, and to any additional restrictions deemed necessary or appropriate by the Administrator. If the Holder is married or a domestic partner in a domestic partnership qualified under Applicable Law and resides in a community property state, a designation of a person other than the Holder’s spouse or domestic partner, as applicable, as his or her beneficiary with respect to more than 50% of the Holder’s interest in the Award shall not be effective without the prior written or electronic consent of the Holder’s spouse or domestic partner. If no beneficiary has been designated or survives the Holder, payment shall be made to the person entitled thereto pursuant to the Holder’s will or the laws of descent and distribution. Subject to the foregoing, a beneficiary designation may be</w:t>
      </w:r>
    </w:p>
    <w:p>
      <w:pPr>
        <w:spacing w:after="0" w:line="166" w:lineRule="exact"/>
        <w:rPr>
          <w:sz w:val="20"/>
          <w:szCs w:val="20"/>
          <w:color w:val="auto"/>
        </w:rPr>
      </w:pPr>
    </w:p>
    <w:p>
      <w:pPr>
        <w:ind w:left="5146"/>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370205</wp:posOffset>
            </wp:positionV>
            <wp:extent cx="5871845" cy="50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6"/>
          </w:cols>
          <w:pgMar w:left="1354" w:top="441" w:right="1379" w:bottom="1440" w:gutter="0" w:footer="0" w:header="0"/>
        </w:sectPr>
      </w:pPr>
    </w:p>
    <w:bookmarkStart w:id="28" w:name="page29"/>
    <w:bookmarkEnd w:id="28"/>
    <w:p>
      <w:pPr>
        <w:ind w:right="120"/>
        <w:spacing w:after="0"/>
        <w:rPr>
          <w:sz w:val="20"/>
          <w:szCs w:val="20"/>
          <w:color w:val="auto"/>
        </w:rPr>
      </w:pPr>
      <w:r>
        <w:rPr>
          <w:rFonts w:ascii="Times New Roman" w:cs="Times New Roman" w:eastAsia="Times New Roman" w:hAnsi="Times New Roman"/>
          <w:sz w:val="20"/>
          <w:szCs w:val="20"/>
          <w:color w:val="auto"/>
        </w:rPr>
        <w:t xml:space="preserve">changed or revoked by a Holder at any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change or revocation is filed with the Administrator prior to the Holder’s death.</w:t>
      </w:r>
    </w:p>
    <w:p>
      <w:pPr>
        <w:spacing w:after="0" w:line="143"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10.4</w:t>
      </w:r>
      <w:r>
        <w:rPr>
          <w:sz w:val="20"/>
          <w:szCs w:val="20"/>
          <w:color w:val="auto"/>
        </w:rPr>
        <w:tab/>
      </w:r>
      <w:r>
        <w:rPr>
          <w:rFonts w:ascii="Times New Roman" w:cs="Times New Roman" w:eastAsia="Times New Roman" w:hAnsi="Times New Roman"/>
          <w:sz w:val="19"/>
          <w:szCs w:val="19"/>
          <w:u w:val="single" w:color="auto"/>
          <w:color w:val="auto"/>
        </w:rPr>
        <w:t>Conditions to Issuance of Shares.</w:t>
      </w:r>
    </w:p>
    <w:p>
      <w:pPr>
        <w:spacing w:after="0" w:line="184" w:lineRule="exact"/>
        <w:rPr>
          <w:sz w:val="20"/>
          <w:szCs w:val="20"/>
          <w:color w:val="auto"/>
        </w:rPr>
      </w:pPr>
    </w:p>
    <w:p>
      <w:pPr>
        <w:ind w:right="80" w:firstLine="1290"/>
        <w:spacing w:after="0" w:line="215" w:lineRule="auto"/>
        <w:tabs>
          <w:tab w:leader="none" w:pos="199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herein to the contrary, the Company shall not be required to issue or deliver any certificates or make any book entries evidencing Shares pursuant to the exercise of any Award, unless and until the Board or the Committee has determined, with advice of counsel, that the issuance of such Shares is in compliance with Applicable Law and the Shares are covered by an effective registration statement or applicable exemption from registration. In addition to the terms and conditions provided herein, the Board or the Committee may require that a Holder make such reasonable covenants, agreements, and representations as the Board or the Committee, in its discretion, deems advisable in order to comply with Applicable Law as a condition to the issuance or exercise of any Award.</w:t>
      </w:r>
    </w:p>
    <w:p>
      <w:pPr>
        <w:spacing w:after="0" w:line="147" w:lineRule="exact"/>
        <w:rPr>
          <w:rFonts w:ascii="Times New Roman" w:cs="Times New Roman" w:eastAsia="Times New Roman" w:hAnsi="Times New Roman"/>
          <w:sz w:val="20"/>
          <w:szCs w:val="20"/>
          <w:color w:val="auto"/>
        </w:rPr>
      </w:pPr>
    </w:p>
    <w:p>
      <w:pPr>
        <w:jc w:val="both"/>
        <w:ind w:right="20" w:firstLine="1290"/>
        <w:spacing w:after="0" w:line="222" w:lineRule="auto"/>
        <w:tabs>
          <w:tab w:leader="none" w:pos="200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Share certificates delivered pursuant to the Plan and all Shares issued pursuant to book entry procedures are subject to any stop-transfer orders and other restrictions as the Administrator deems necessary or advisable to comply with Applicable Law. The Administrator may place legends on any Share certificate or book entry to reference restrictions applicable to the Shares.</w:t>
      </w:r>
    </w:p>
    <w:p>
      <w:pPr>
        <w:spacing w:after="0" w:line="161" w:lineRule="exact"/>
        <w:rPr>
          <w:rFonts w:ascii="Times New Roman" w:cs="Times New Roman" w:eastAsia="Times New Roman" w:hAnsi="Times New Roman"/>
          <w:sz w:val="20"/>
          <w:szCs w:val="20"/>
          <w:color w:val="auto"/>
        </w:rPr>
      </w:pPr>
    </w:p>
    <w:p>
      <w:pPr>
        <w:ind w:right="60" w:firstLine="1290"/>
        <w:spacing w:after="0" w:line="230" w:lineRule="auto"/>
        <w:tabs>
          <w:tab w:leader="none" w:pos="199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shall have the right to require any Holder to comply with any timing or other restrictions with respect to the settlement, distribution or exercise of any Award, including a window-period limitation, as may be imposed in the sole discretion of the Administrator.</w:t>
      </w:r>
    </w:p>
    <w:p>
      <w:pPr>
        <w:spacing w:after="0" w:line="148" w:lineRule="exact"/>
        <w:rPr>
          <w:rFonts w:ascii="Times New Roman" w:cs="Times New Roman" w:eastAsia="Times New Roman" w:hAnsi="Times New Roman"/>
          <w:sz w:val="20"/>
          <w:szCs w:val="20"/>
          <w:color w:val="auto"/>
        </w:rPr>
      </w:pPr>
    </w:p>
    <w:p>
      <w:pPr>
        <w:ind w:right="440" w:firstLine="1290"/>
        <w:spacing w:after="0" w:line="230" w:lineRule="auto"/>
        <w:tabs>
          <w:tab w:leader="none" w:pos="2008"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fractional Shares shall be issued and the Administrator shall determine, in its sole discretion, whether cash shall be given in lieu of fractional Shares or whether such fractional Shares shall be eliminated by rounding down.</w:t>
      </w:r>
    </w:p>
    <w:p>
      <w:pPr>
        <w:spacing w:after="0" w:line="148" w:lineRule="exact"/>
        <w:rPr>
          <w:rFonts w:ascii="Times New Roman" w:cs="Times New Roman" w:eastAsia="Times New Roman" w:hAnsi="Times New Roman"/>
          <w:sz w:val="20"/>
          <w:szCs w:val="20"/>
          <w:color w:val="auto"/>
        </w:rPr>
      </w:pPr>
    </w:p>
    <w:p>
      <w:pPr>
        <w:ind w:right="20" w:firstLine="1290"/>
        <w:spacing w:after="0" w:line="222" w:lineRule="auto"/>
        <w:tabs>
          <w:tab w:leader="none" w:pos="1997" w:val="left"/>
        </w:tabs>
        <w:numPr>
          <w:ilvl w:val="0"/>
          <w:numId w:val="3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the Plan, unless otherwise determined by the Administrator or required by Applicable Law, the Company shall not deliver to any Holder certificates evidencing Shares issued in connection with any Award and instead such Shares shall be recorded in the books of the Company (or, as applicable, its transfer agent or stock plan administrator).</w:t>
      </w:r>
    </w:p>
    <w:p>
      <w:pPr>
        <w:spacing w:after="0" w:line="157"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10.5</w:t>
      </w:r>
      <w:r>
        <w:rPr>
          <w:sz w:val="20"/>
          <w:szCs w:val="20"/>
          <w:color w:val="auto"/>
        </w:rPr>
        <w:tab/>
      </w:r>
      <w:r>
        <w:rPr>
          <w:rFonts w:ascii="Times New Roman" w:cs="Times New Roman" w:eastAsia="Times New Roman" w:hAnsi="Times New Roman"/>
          <w:sz w:val="19"/>
          <w:szCs w:val="19"/>
          <w:u w:val="single" w:color="auto"/>
          <w:color w:val="auto"/>
        </w:rPr>
        <w:t>Forfeiture and Claw-Back Provisions.</w:t>
      </w:r>
    </w:p>
    <w:p>
      <w:pPr>
        <w:spacing w:after="0" w:line="184" w:lineRule="exact"/>
        <w:rPr>
          <w:sz w:val="20"/>
          <w:szCs w:val="20"/>
          <w:color w:val="auto"/>
        </w:rPr>
      </w:pPr>
    </w:p>
    <w:p>
      <w:pPr>
        <w:ind w:right="80" w:firstLine="697"/>
        <w:spacing w:after="0" w:line="230" w:lineRule="auto"/>
        <w:rPr>
          <w:sz w:val="20"/>
          <w:szCs w:val="20"/>
          <w:color w:val="auto"/>
        </w:rPr>
      </w:pPr>
      <w:r>
        <w:rPr>
          <w:rFonts w:ascii="Times New Roman" w:cs="Times New Roman" w:eastAsia="Times New Roman" w:hAnsi="Times New Roman"/>
          <w:sz w:val="20"/>
          <w:szCs w:val="20"/>
          <w:color w:val="auto"/>
        </w:rPr>
        <w:t>Pursuant to its general authority to determine the terms and conditions applicable to Awards under the Plan, the Administrator shall have the right to provide, in an Award Agreement or otherwise, or to require a Holder to agree by separate written or electronic instrument, that:</w:t>
      </w:r>
    </w:p>
    <w:p>
      <w:pPr>
        <w:spacing w:after="0" w:line="149" w:lineRule="exact"/>
        <w:rPr>
          <w:sz w:val="20"/>
          <w:szCs w:val="20"/>
          <w:color w:val="auto"/>
        </w:rPr>
      </w:pPr>
    </w:p>
    <w:p>
      <w:pPr>
        <w:ind w:firstLine="1290"/>
        <w:spacing w:after="0" w:line="215" w:lineRule="auto"/>
        <w:tabs>
          <w:tab w:leader="none" w:pos="1997" w:val="left"/>
        </w:tabs>
        <w:numPr>
          <w:ilvl w:val="0"/>
          <w:numId w:val="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 Any proceeds, gains or other economic benefit actually or constructively received by the Holder upon any receipt or exercise of the Award, or upon the receipt or resale of any Shares underlying the Award, must be paid to the Company, and (ii) the Award shall terminate and any unexercised portion of the Award (whether or not vested) shall be forfeited, if (x) a Termination of Service occurs prior to a specified date, or within a specified time period following receipt or exercise of the Award, or (y) the Holder at any time, or during a specified time period, engages in any activity in competition with the Company, or which is inimical, contrary or harmful to the interests of the Company, as further defined by the Administrator or (z) the Holder incurs a Termination of Service for Misconduct; and</w:t>
      </w:r>
    </w:p>
    <w:p>
      <w:pPr>
        <w:spacing w:after="0" w:line="147" w:lineRule="exact"/>
        <w:rPr>
          <w:rFonts w:ascii="Times New Roman" w:cs="Times New Roman" w:eastAsia="Times New Roman" w:hAnsi="Times New Roman"/>
          <w:sz w:val="20"/>
          <w:szCs w:val="20"/>
          <w:color w:val="auto"/>
        </w:rPr>
      </w:pPr>
    </w:p>
    <w:p>
      <w:pPr>
        <w:ind w:right="280" w:firstLine="1290"/>
        <w:spacing w:after="0" w:line="234" w:lineRule="auto"/>
        <w:tabs>
          <w:tab w:leader="none" w:pos="2008" w:val="left"/>
        </w:tabs>
        <w:numPr>
          <w:ilvl w:val="0"/>
          <w:numId w:val="3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Awards (including any proceeds, gains or other economic benefit actually or constructively received by the Holder upon any receipt or exercise of any Award or upon the receipt or resale of any Shares underlying the Award) shall be subject to the provisions of any claw-back policy implemented by the Company, including, without limitation, any claw-back policy adopted to comply with the requirements of the</w:t>
      </w:r>
    </w:p>
    <w:p>
      <w:pPr>
        <w:spacing w:after="0" w:line="160"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361315</wp:posOffset>
            </wp:positionV>
            <wp:extent cx="5871845" cy="508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441" w:right="13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20"/>
          <w:szCs w:val="20"/>
          <w:color w:val="auto"/>
        </w:rPr>
        <w:t>Dodd-Frank Wall Street Reform and Consumer Protection Act and any rules or regulations promulgated thereunder, to the extent set forth in such claw-back policy and/or in the applicable Award Agreement.</w:t>
      </w:r>
    </w:p>
    <w:p>
      <w:pPr>
        <w:spacing w:after="0" w:line="13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2"/>
          <w:szCs w:val="22"/>
          <w:b w:val="1"/>
          <w:bCs w:val="1"/>
          <w:color w:val="auto"/>
        </w:rPr>
        <w:t>ARTICLE 11.</w:t>
      </w:r>
    </w:p>
    <w:p>
      <w:pPr>
        <w:spacing w:after="0" w:line="17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0"/>
          <w:szCs w:val="20"/>
          <w:color w:val="auto"/>
        </w:rPr>
        <w:t>ADMINISTRATION</w:t>
      </w:r>
    </w:p>
    <w:p>
      <w:pPr>
        <w:spacing w:after="0" w:line="170"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11.1</w:t>
      </w:r>
      <w:r>
        <w:rPr>
          <w:sz w:val="20"/>
          <w:szCs w:val="20"/>
          <w:color w:val="auto"/>
        </w:rPr>
        <w:tab/>
      </w:r>
      <w:r>
        <w:rPr>
          <w:rFonts w:ascii="Times New Roman" w:cs="Times New Roman" w:eastAsia="Times New Roman" w:hAnsi="Times New Roman"/>
          <w:sz w:val="19"/>
          <w:szCs w:val="19"/>
          <w:u w:val="single" w:color="auto"/>
          <w:color w:val="auto"/>
        </w:rPr>
        <w:t>Administrator.</w:t>
      </w:r>
    </w:p>
    <w:p>
      <w:pPr>
        <w:spacing w:after="0" w:line="184" w:lineRule="exact"/>
        <w:rPr>
          <w:sz w:val="20"/>
          <w:szCs w:val="20"/>
          <w:color w:val="auto"/>
        </w:rPr>
      </w:pPr>
    </w:p>
    <w:p>
      <w:pPr>
        <w:ind w:right="220" w:firstLine="697"/>
        <w:spacing w:after="0" w:line="234" w:lineRule="auto"/>
        <w:rPr>
          <w:sz w:val="20"/>
          <w:szCs w:val="20"/>
          <w:color w:val="auto"/>
        </w:rPr>
      </w:pPr>
      <w:r>
        <w:rPr>
          <w:rFonts w:ascii="Times New Roman" w:cs="Times New Roman" w:eastAsia="Times New Roman" w:hAnsi="Times New Roman"/>
          <w:sz w:val="19"/>
          <w:szCs w:val="19"/>
          <w:color w:val="auto"/>
        </w:rPr>
        <w:t>The Committee (or another committee or a subcommittee of the Board assuming the functions of the Committee under the Plan) shall administer the Plan (except as otherwise permitted herein) and, unless otherwise</w:t>
      </w:r>
    </w:p>
    <w:p>
      <w:pPr>
        <w:spacing w:after="0" w:line="1" w:lineRule="exact"/>
        <w:rPr>
          <w:sz w:val="20"/>
          <w:szCs w:val="20"/>
          <w:color w:val="auto"/>
        </w:rPr>
      </w:pPr>
    </w:p>
    <w:p>
      <w:pPr>
        <w:ind w:right="280"/>
        <w:spacing w:after="0" w:line="215" w:lineRule="auto"/>
        <w:rPr>
          <w:sz w:val="20"/>
          <w:szCs w:val="20"/>
          <w:color w:val="auto"/>
        </w:rPr>
      </w:pPr>
      <w:r>
        <w:rPr>
          <w:rFonts w:ascii="Times New Roman" w:cs="Times New Roman" w:eastAsia="Times New Roman" w:hAnsi="Times New Roman"/>
          <w:sz w:val="19"/>
          <w:szCs w:val="19"/>
          <w:color w:val="auto"/>
        </w:rPr>
        <w:t>determined by the Board, shall consist solely of two or more Non-Employee Directors appointed by and holding office at the pleasure of the Board, each of whom is intended to qualify as both a “non-employee director” as</w:t>
      </w:r>
    </w:p>
    <w:p>
      <w:pPr>
        <w:spacing w:after="0" w:line="211" w:lineRule="auto"/>
        <w:rPr>
          <w:sz w:val="20"/>
          <w:szCs w:val="20"/>
          <w:color w:val="auto"/>
        </w:rPr>
      </w:pPr>
      <w:r>
        <w:rPr>
          <w:rFonts w:ascii="Times New Roman" w:cs="Times New Roman" w:eastAsia="Times New Roman" w:hAnsi="Times New Roman"/>
          <w:sz w:val="20"/>
          <w:szCs w:val="20"/>
          <w:color w:val="auto"/>
        </w:rPr>
        <w:t>defined by Rule 16b-3 of the Exchange Act or any successor rule, and an “independent director” under the rules of</w:t>
      </w:r>
    </w:p>
    <w:p>
      <w:pPr>
        <w:ind w:right="200"/>
        <w:spacing w:after="0" w:line="215" w:lineRule="auto"/>
        <w:rPr>
          <w:sz w:val="20"/>
          <w:szCs w:val="20"/>
          <w:color w:val="auto"/>
        </w:rPr>
      </w:pPr>
      <w:r>
        <w:rPr>
          <w:rFonts w:ascii="Times New Roman" w:cs="Times New Roman" w:eastAsia="Times New Roman" w:hAnsi="Times New Roman"/>
          <w:sz w:val="19"/>
          <w:szCs w:val="19"/>
          <w:color w:val="auto"/>
        </w:rPr>
        <w:t xml:space="preserve">any securities exchange or automated quotation system on which the Shares are listed, quoted or traded;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action taken by the Committee shall be valid and effective, whether or not members of the Committee at</w:t>
      </w:r>
    </w:p>
    <w:p>
      <w:pPr>
        <w:spacing w:after="0" w:line="211" w:lineRule="auto"/>
        <w:rPr>
          <w:sz w:val="20"/>
          <w:szCs w:val="20"/>
          <w:color w:val="auto"/>
        </w:rPr>
      </w:pPr>
      <w:r>
        <w:rPr>
          <w:rFonts w:ascii="Times New Roman" w:cs="Times New Roman" w:eastAsia="Times New Roman" w:hAnsi="Times New Roman"/>
          <w:sz w:val="20"/>
          <w:szCs w:val="20"/>
          <w:color w:val="auto"/>
        </w:rPr>
        <w:t>the time of such action are later determined not to have satisfied the requirements for membership set forth in this</w:t>
      </w:r>
    </w:p>
    <w:p>
      <w:pPr>
        <w:ind w:right="140"/>
        <w:spacing w:after="0" w:line="215" w:lineRule="auto"/>
        <w:rPr>
          <w:sz w:val="20"/>
          <w:szCs w:val="20"/>
          <w:color w:val="auto"/>
        </w:rPr>
      </w:pPr>
      <w:r>
        <w:rPr>
          <w:rFonts w:ascii="Times New Roman" w:cs="Times New Roman" w:eastAsia="Times New Roman" w:hAnsi="Times New Roman"/>
          <w:sz w:val="19"/>
          <w:szCs w:val="19"/>
          <w:color w:val="auto"/>
        </w:rPr>
        <w:t>Section 11.l or otherwise provided in any charter of the Committee. Except as may otherwise be provided in any charter of the Committee, appointment of Committee members shall be effective upon acceptance of appointment.</w:t>
      </w:r>
    </w:p>
    <w:p>
      <w:pPr>
        <w:ind w:left="40"/>
        <w:spacing w:after="0" w:line="211" w:lineRule="auto"/>
        <w:rPr>
          <w:sz w:val="20"/>
          <w:szCs w:val="20"/>
          <w:color w:val="auto"/>
        </w:rPr>
      </w:pPr>
      <w:r>
        <w:rPr>
          <w:rFonts w:ascii="Times New Roman" w:cs="Times New Roman" w:eastAsia="Times New Roman" w:hAnsi="Times New Roman"/>
          <w:sz w:val="20"/>
          <w:szCs w:val="20"/>
          <w:color w:val="auto"/>
        </w:rPr>
        <w:t>Committee members may resign at any time by delivering written or electronic notice to the Board. Vacancies in</w:t>
      </w:r>
    </w:p>
    <w:p>
      <w:pPr>
        <w:ind w:right="440"/>
        <w:spacing w:after="0" w:line="215" w:lineRule="auto"/>
        <w:rPr>
          <w:sz w:val="20"/>
          <w:szCs w:val="20"/>
          <w:color w:val="auto"/>
        </w:rPr>
      </w:pPr>
      <w:r>
        <w:rPr>
          <w:rFonts w:ascii="Times New Roman" w:cs="Times New Roman" w:eastAsia="Times New Roman" w:hAnsi="Times New Roman"/>
          <w:sz w:val="19"/>
          <w:szCs w:val="19"/>
          <w:color w:val="auto"/>
        </w:rPr>
        <w:t>the Committee may only be filled by the Board. Notwithstanding the foregoing, (a) the full Board, acting by a majority of its members in office, shall conduct the general administration of the Plan with respect to Awards</w:t>
      </w:r>
    </w:p>
    <w:p>
      <w:pPr>
        <w:spacing w:after="0" w:line="211" w:lineRule="auto"/>
        <w:rPr>
          <w:sz w:val="20"/>
          <w:szCs w:val="20"/>
          <w:color w:val="auto"/>
        </w:rPr>
      </w:pPr>
      <w:r>
        <w:rPr>
          <w:rFonts w:ascii="Times New Roman" w:cs="Times New Roman" w:eastAsia="Times New Roman" w:hAnsi="Times New Roman"/>
          <w:sz w:val="20"/>
          <w:szCs w:val="20"/>
          <w:color w:val="auto"/>
        </w:rPr>
        <w:t>granted to Non-Employee Directors and, if the Committee does not consist solely of two or more Non-Employee</w:t>
      </w:r>
    </w:p>
    <w:p>
      <w:pPr>
        <w:ind w:right="140"/>
        <w:spacing w:after="0" w:line="215" w:lineRule="auto"/>
        <w:rPr>
          <w:sz w:val="20"/>
          <w:szCs w:val="20"/>
          <w:color w:val="auto"/>
        </w:rPr>
      </w:pPr>
      <w:r>
        <w:rPr>
          <w:rFonts w:ascii="Times New Roman" w:cs="Times New Roman" w:eastAsia="Times New Roman" w:hAnsi="Times New Roman"/>
          <w:sz w:val="19"/>
          <w:szCs w:val="19"/>
          <w:color w:val="auto"/>
        </w:rPr>
        <w:t>Directors, Awards granted to officers, as defined in Rule 16a-1 of the Exchange Act, and, with respect to such Awards, the terms “Administrator” and “Committee” as used in the Plan shall be deemed to refer to the Board and</w:t>
      </w:r>
    </w:p>
    <w:p>
      <w:pPr>
        <w:spacing w:after="0"/>
        <w:rPr>
          <w:sz w:val="20"/>
          <w:szCs w:val="20"/>
          <w:color w:val="auto"/>
        </w:rPr>
      </w:pPr>
      <w:r>
        <w:rPr>
          <w:rFonts w:ascii="Times New Roman" w:cs="Times New Roman" w:eastAsia="Times New Roman" w:hAnsi="Times New Roman"/>
          <w:sz w:val="20"/>
          <w:szCs w:val="20"/>
          <w:color w:val="auto"/>
        </w:rPr>
        <w:t>(b) the Board or Committee may delegate its authority hereunder to the extent permitted by Section 11.6.</w:t>
      </w:r>
    </w:p>
    <w:p>
      <w:pPr>
        <w:spacing w:after="0" w:line="148"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11.2</w:t>
      </w:r>
      <w:r>
        <w:rPr>
          <w:sz w:val="20"/>
          <w:szCs w:val="20"/>
          <w:color w:val="auto"/>
        </w:rPr>
        <w:tab/>
      </w:r>
      <w:r>
        <w:rPr>
          <w:rFonts w:ascii="Times New Roman" w:cs="Times New Roman" w:eastAsia="Times New Roman" w:hAnsi="Times New Roman"/>
          <w:sz w:val="19"/>
          <w:szCs w:val="19"/>
          <w:u w:val="single" w:color="auto"/>
          <w:color w:val="auto"/>
        </w:rPr>
        <w:t>Duties and Powers of Committee.</w:t>
      </w:r>
    </w:p>
    <w:p>
      <w:pPr>
        <w:spacing w:after="0" w:line="184" w:lineRule="exact"/>
        <w:rPr>
          <w:sz w:val="20"/>
          <w:szCs w:val="20"/>
          <w:color w:val="auto"/>
        </w:rPr>
      </w:pPr>
    </w:p>
    <w:p>
      <w:pPr>
        <w:ind w:right="180" w:firstLine="648"/>
        <w:spacing w:after="0" w:line="234" w:lineRule="auto"/>
        <w:rPr>
          <w:sz w:val="20"/>
          <w:szCs w:val="20"/>
          <w:color w:val="auto"/>
        </w:rPr>
      </w:pPr>
      <w:r>
        <w:rPr>
          <w:rFonts w:ascii="Times New Roman" w:cs="Times New Roman" w:eastAsia="Times New Roman" w:hAnsi="Times New Roman"/>
          <w:sz w:val="19"/>
          <w:szCs w:val="19"/>
          <w:color w:val="auto"/>
        </w:rPr>
        <w:t>It shall be the duty of the Committee to conduct the general administration of the Plan in accordance with its provisions. The Committee shall have the power to interpret the Plan and the Award Agreement, and to adopt</w:t>
      </w:r>
    </w:p>
    <w:p>
      <w:pPr>
        <w:spacing w:after="0" w:line="1" w:lineRule="exact"/>
        <w:rPr>
          <w:sz w:val="20"/>
          <w:szCs w:val="20"/>
          <w:color w:val="auto"/>
        </w:rPr>
      </w:pPr>
    </w:p>
    <w:p>
      <w:pPr>
        <w:ind w:right="440"/>
        <w:spacing w:after="0" w:line="204" w:lineRule="auto"/>
        <w:rPr>
          <w:sz w:val="20"/>
          <w:szCs w:val="20"/>
          <w:color w:val="auto"/>
        </w:rPr>
      </w:pPr>
      <w:r>
        <w:rPr>
          <w:rFonts w:ascii="Times New Roman" w:cs="Times New Roman" w:eastAsia="Times New Roman" w:hAnsi="Times New Roman"/>
          <w:sz w:val="20"/>
          <w:szCs w:val="20"/>
          <w:color w:val="auto"/>
        </w:rPr>
        <w:t xml:space="preserve">such rules for the administration, interpretation and application of the Plan as are not inconsistent therewith, to interpret, amend or revoke any such rules and to amend any Award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rights or</w:t>
      </w:r>
    </w:p>
    <w:p>
      <w:pPr>
        <w:spacing w:after="0" w:line="211" w:lineRule="auto"/>
        <w:rPr>
          <w:sz w:val="20"/>
          <w:szCs w:val="20"/>
          <w:color w:val="auto"/>
        </w:rPr>
      </w:pPr>
      <w:r>
        <w:rPr>
          <w:rFonts w:ascii="Times New Roman" w:cs="Times New Roman" w:eastAsia="Times New Roman" w:hAnsi="Times New Roman"/>
          <w:sz w:val="20"/>
          <w:szCs w:val="20"/>
          <w:color w:val="auto"/>
        </w:rPr>
        <w:t>obligations of the Holder of the Award that is the subject of any such Award Agreement are not affected adversely</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by such amendment, unless the consent of the Holder is obtained or such amendment is otherwise permitted under Section 12.10. Any such grant or award under the Plan need not be the same with respect to each Holder. Any</w:t>
      </w:r>
    </w:p>
    <w:p>
      <w:pPr>
        <w:spacing w:after="0" w:line="211" w:lineRule="auto"/>
        <w:rPr>
          <w:sz w:val="20"/>
          <w:szCs w:val="20"/>
          <w:color w:val="auto"/>
        </w:rPr>
      </w:pPr>
      <w:r>
        <w:rPr>
          <w:rFonts w:ascii="Times New Roman" w:cs="Times New Roman" w:eastAsia="Times New Roman" w:hAnsi="Times New Roman"/>
          <w:sz w:val="20"/>
          <w:szCs w:val="20"/>
          <w:color w:val="auto"/>
        </w:rPr>
        <w:t>such interpretations and rules with respect to Incentive Stock Options shall be consistent with the provisions of</w:t>
      </w:r>
    </w:p>
    <w:p>
      <w:pPr>
        <w:ind w:right="120"/>
        <w:spacing w:after="0" w:line="215" w:lineRule="auto"/>
        <w:rPr>
          <w:sz w:val="20"/>
          <w:szCs w:val="20"/>
          <w:color w:val="auto"/>
        </w:rPr>
      </w:pPr>
      <w:r>
        <w:rPr>
          <w:rFonts w:ascii="Times New Roman" w:cs="Times New Roman" w:eastAsia="Times New Roman" w:hAnsi="Times New Roman"/>
          <w:sz w:val="19"/>
          <w:szCs w:val="19"/>
          <w:color w:val="auto"/>
        </w:rPr>
        <w:t>Section 422 of the Code. In its sole discretion, the Board may at any time and from time to time exercise any and all rights and duties of the Committee under the Plan except with respect to matters which under Rule 16b-3 under</w:t>
      </w:r>
    </w:p>
    <w:p>
      <w:pPr>
        <w:spacing w:after="0" w:line="211" w:lineRule="auto"/>
        <w:rPr>
          <w:sz w:val="20"/>
          <w:szCs w:val="20"/>
          <w:color w:val="auto"/>
        </w:rPr>
      </w:pPr>
      <w:r>
        <w:rPr>
          <w:rFonts w:ascii="Times New Roman" w:cs="Times New Roman" w:eastAsia="Times New Roman" w:hAnsi="Times New Roman"/>
          <w:sz w:val="20"/>
          <w:szCs w:val="20"/>
          <w:color w:val="auto"/>
        </w:rPr>
        <w:t>the Exchange Act or any successor rule, or any regulations or rules issued thereunder, or the rules of any securities</w:t>
      </w:r>
    </w:p>
    <w:p>
      <w:pPr>
        <w:ind w:right="700"/>
        <w:spacing w:after="0" w:line="221" w:lineRule="auto"/>
        <w:rPr>
          <w:sz w:val="20"/>
          <w:szCs w:val="20"/>
          <w:color w:val="auto"/>
        </w:rPr>
      </w:pPr>
      <w:r>
        <w:rPr>
          <w:rFonts w:ascii="Times New Roman" w:cs="Times New Roman" w:eastAsia="Times New Roman" w:hAnsi="Times New Roman"/>
          <w:sz w:val="20"/>
          <w:szCs w:val="20"/>
          <w:color w:val="auto"/>
        </w:rPr>
        <w:t>exchange or automated quotation system on which the Shares are listed, quoted or traded are required to be determined in the sole discretion of the Committee.</w:t>
      </w:r>
    </w:p>
    <w:p>
      <w:pPr>
        <w:spacing w:after="0" w:line="157"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11.3</w:t>
      </w:r>
      <w:r>
        <w:rPr>
          <w:sz w:val="20"/>
          <w:szCs w:val="20"/>
          <w:color w:val="auto"/>
        </w:rPr>
        <w:tab/>
      </w:r>
      <w:r>
        <w:rPr>
          <w:rFonts w:ascii="Times New Roman" w:cs="Times New Roman" w:eastAsia="Times New Roman" w:hAnsi="Times New Roman"/>
          <w:sz w:val="19"/>
          <w:szCs w:val="19"/>
          <w:u w:val="single" w:color="auto"/>
          <w:color w:val="auto"/>
        </w:rPr>
        <w:t>Action by the Committee.</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Unless otherwise established by the Board or in any charter of the Committee, a majority of the Committee</w:t>
      </w:r>
    </w:p>
    <w:p>
      <w:pPr>
        <w:spacing w:after="0" w:line="6" w:lineRule="exact"/>
        <w:rPr>
          <w:sz w:val="20"/>
          <w:szCs w:val="20"/>
          <w:color w:val="auto"/>
        </w:rPr>
      </w:pPr>
    </w:p>
    <w:p>
      <w:pPr>
        <w:ind w:right="300"/>
        <w:spacing w:after="0" w:line="215" w:lineRule="auto"/>
        <w:rPr>
          <w:sz w:val="20"/>
          <w:szCs w:val="20"/>
          <w:color w:val="auto"/>
        </w:rPr>
      </w:pPr>
      <w:r>
        <w:rPr>
          <w:rFonts w:ascii="Times New Roman" w:cs="Times New Roman" w:eastAsia="Times New Roman" w:hAnsi="Times New Roman"/>
          <w:sz w:val="19"/>
          <w:szCs w:val="19"/>
          <w:color w:val="auto"/>
        </w:rPr>
        <w:t>shall constitute a quorum and the acts of a majority of the members present at any meeting at which a quorum is present, and acts approved in writing by all members of the Committee in lieu of a meeting, shall be deemed the</w:t>
      </w:r>
    </w:p>
    <w:p>
      <w:pPr>
        <w:spacing w:after="0" w:line="211" w:lineRule="auto"/>
        <w:rPr>
          <w:sz w:val="20"/>
          <w:szCs w:val="20"/>
          <w:color w:val="auto"/>
        </w:rPr>
      </w:pPr>
      <w:r>
        <w:rPr>
          <w:rFonts w:ascii="Times New Roman" w:cs="Times New Roman" w:eastAsia="Times New Roman" w:hAnsi="Times New Roman"/>
          <w:sz w:val="20"/>
          <w:szCs w:val="20"/>
          <w:color w:val="auto"/>
        </w:rPr>
        <w:t>acts of the Committee. Each member of the Committee is entitled to, in good faith, rely or act upon any report or</w:t>
      </w:r>
    </w:p>
    <w:p>
      <w:pPr>
        <w:spacing w:after="0" w:line="204" w:lineRule="auto"/>
        <w:rPr>
          <w:sz w:val="20"/>
          <w:szCs w:val="20"/>
          <w:color w:val="auto"/>
        </w:rPr>
      </w:pPr>
      <w:r>
        <w:rPr>
          <w:rFonts w:ascii="Times New Roman" w:cs="Times New Roman" w:eastAsia="Times New Roman" w:hAnsi="Times New Roman"/>
          <w:sz w:val="20"/>
          <w:szCs w:val="20"/>
          <w:color w:val="auto"/>
        </w:rPr>
        <w:t>other information furnished to that member by any officer or other employee of the Company or any Subsidiary, the Company’s independent certified public accountants, or any executive compensation consultant or other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professional retained by the Company to assist in the administration of the Plan.</w:t>
      </w:r>
    </w:p>
    <w:p>
      <w:pPr>
        <w:spacing w:after="0" w:line="16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5871845" cy="508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80"/>
          </w:cols>
          <w:pgMar w:left="1360" w:top="441" w:right="1359" w:bottom="1440" w:gutter="0" w:footer="0" w:header="0"/>
        </w:sectPr>
      </w:pPr>
    </w:p>
    <w:bookmarkStart w:id="30" w:name="page31"/>
    <w:bookmarkEnd w:id="30"/>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11.4</w:t>
      </w:r>
      <w:r>
        <w:rPr>
          <w:sz w:val="20"/>
          <w:szCs w:val="20"/>
          <w:color w:val="auto"/>
        </w:rPr>
        <w:tab/>
      </w:r>
      <w:r>
        <w:rPr>
          <w:rFonts w:ascii="Times New Roman" w:cs="Times New Roman" w:eastAsia="Times New Roman" w:hAnsi="Times New Roman"/>
          <w:sz w:val="19"/>
          <w:szCs w:val="19"/>
          <w:u w:val="single" w:color="auto"/>
          <w:color w:val="auto"/>
        </w:rPr>
        <w:t>Authority of Administrator.</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Subject to the Company’s Bylaws, the Committee’s Charter and any specific designation in the Plan, the</w:t>
      </w:r>
    </w:p>
    <w:p>
      <w:pPr>
        <w:ind w:left="640"/>
        <w:spacing w:after="0"/>
        <w:rPr>
          <w:sz w:val="20"/>
          <w:szCs w:val="20"/>
          <w:color w:val="auto"/>
        </w:rPr>
      </w:pPr>
      <w:r>
        <w:rPr>
          <w:rFonts w:ascii="Times New Roman" w:cs="Times New Roman" w:eastAsia="Times New Roman" w:hAnsi="Times New Roman"/>
          <w:sz w:val="20"/>
          <w:szCs w:val="20"/>
          <w:color w:val="auto"/>
        </w:rPr>
        <w:t>Administrator has the exclusive power, authority and sole discretion to:</w:t>
      </w:r>
    </w:p>
    <w:p>
      <w:pPr>
        <w:spacing w:after="0" w:line="167" w:lineRule="exact"/>
        <w:rPr>
          <w:sz w:val="20"/>
          <w:szCs w:val="20"/>
          <w:color w:val="auto"/>
        </w:rPr>
      </w:pPr>
    </w:p>
    <w:p>
      <w:pPr>
        <w:ind w:left="2000" w:hanging="710"/>
        <w:spacing w:after="0"/>
        <w:tabs>
          <w:tab w:leader="none" w:pos="2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Designate Eligible Individuals to receive Awards;</w:t>
      </w:r>
    </w:p>
    <w:p>
      <w:pPr>
        <w:spacing w:after="0" w:line="188" w:lineRule="exact"/>
        <w:rPr>
          <w:rFonts w:ascii="Times New Roman" w:cs="Times New Roman" w:eastAsia="Times New Roman" w:hAnsi="Times New Roman"/>
          <w:sz w:val="20"/>
          <w:szCs w:val="20"/>
          <w:color w:val="auto"/>
        </w:rPr>
      </w:pPr>
    </w:p>
    <w:p>
      <w:pPr>
        <w:ind w:left="2000" w:hanging="710"/>
        <w:spacing w:after="0"/>
        <w:tabs>
          <w:tab w:leader="none" w:pos="2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type or types of Awards to be granted to Eligible Individuals;</w:t>
      </w:r>
    </w:p>
    <w:p>
      <w:pPr>
        <w:spacing w:after="0" w:line="169" w:lineRule="exact"/>
        <w:rPr>
          <w:rFonts w:ascii="Times New Roman" w:cs="Times New Roman" w:eastAsia="Times New Roman" w:hAnsi="Times New Roman"/>
          <w:sz w:val="20"/>
          <w:szCs w:val="20"/>
          <w:color w:val="auto"/>
        </w:rPr>
      </w:pPr>
    </w:p>
    <w:p>
      <w:pPr>
        <w:ind w:left="2000" w:hanging="710"/>
        <w:spacing w:after="0"/>
        <w:tabs>
          <w:tab w:leader="none" w:pos="2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number of Awards to be granted and the number of Shares to which an</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Award will relate;</w:t>
      </w:r>
    </w:p>
    <w:p>
      <w:pPr>
        <w:spacing w:after="0" w:line="166" w:lineRule="exact"/>
        <w:rPr>
          <w:rFonts w:ascii="Times New Roman" w:cs="Times New Roman" w:eastAsia="Times New Roman" w:hAnsi="Times New Roman"/>
          <w:sz w:val="20"/>
          <w:szCs w:val="20"/>
          <w:color w:val="auto"/>
        </w:rPr>
      </w:pPr>
    </w:p>
    <w:p>
      <w:pPr>
        <w:ind w:firstLine="1290"/>
        <w:spacing w:after="0" w:line="216" w:lineRule="auto"/>
        <w:tabs>
          <w:tab w:leader="none" w:pos="20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and conditions of any Award granted pursuant to the Plan, including, but not limited to, the exercise price, grant price, or purchase price, any Performance Criteria, any restrictions or limitations on the Award, any schedule for vesting, lapse of forfeiture restrictions or restrictions on the exercisability of an Award, and accelerations or waivers thereof, and any provisions related to non-competition and recapture of gain on an Award, based in each case on such considerations as the Administrator in its sole discretion determines;</w:t>
      </w:r>
    </w:p>
    <w:p>
      <w:pPr>
        <w:spacing w:after="0" w:line="162" w:lineRule="exact"/>
        <w:rPr>
          <w:rFonts w:ascii="Times New Roman" w:cs="Times New Roman" w:eastAsia="Times New Roman" w:hAnsi="Times New Roman"/>
          <w:sz w:val="20"/>
          <w:szCs w:val="20"/>
          <w:color w:val="auto"/>
        </w:rPr>
      </w:pPr>
    </w:p>
    <w:p>
      <w:pPr>
        <w:ind w:right="40" w:firstLine="1290"/>
        <w:spacing w:after="0" w:line="226" w:lineRule="auto"/>
        <w:tabs>
          <w:tab w:leader="none" w:pos="1997"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whether, to what extent, and pursuant to what circumstances an Award may be settled in, or the exercise price of an Award may be paid in cash, Shares, other Awards, or other property, or an Award may be canceled, forfeited, or surrendered;</w:t>
      </w:r>
    </w:p>
    <w:p>
      <w:pPr>
        <w:spacing w:after="0" w:line="160" w:lineRule="exact"/>
        <w:rPr>
          <w:rFonts w:ascii="Times New Roman" w:cs="Times New Roman" w:eastAsia="Times New Roman" w:hAnsi="Times New Roman"/>
          <w:sz w:val="20"/>
          <w:szCs w:val="20"/>
          <w:color w:val="auto"/>
        </w:rPr>
      </w:pPr>
    </w:p>
    <w:p>
      <w:pPr>
        <w:ind w:left="1980" w:hanging="690"/>
        <w:spacing w:after="0"/>
        <w:tabs>
          <w:tab w:leader="none" w:pos="1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to adjust or waive any criteria with respect to Performance Criteria;</w:t>
      </w:r>
    </w:p>
    <w:p>
      <w:pPr>
        <w:spacing w:after="0" w:line="169" w:lineRule="exact"/>
        <w:rPr>
          <w:rFonts w:ascii="Times New Roman" w:cs="Times New Roman" w:eastAsia="Times New Roman" w:hAnsi="Times New Roman"/>
          <w:sz w:val="20"/>
          <w:szCs w:val="20"/>
          <w:color w:val="auto"/>
        </w:rPr>
      </w:pPr>
    </w:p>
    <w:p>
      <w:pPr>
        <w:ind w:left="2000" w:hanging="710"/>
        <w:spacing w:after="0"/>
        <w:tabs>
          <w:tab w:leader="none" w:pos="2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Prescribe the form of each Award Agreement, which need not be identical for each</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Holder;</w:t>
      </w:r>
    </w:p>
    <w:p>
      <w:pPr>
        <w:spacing w:after="0" w:line="166" w:lineRule="exact"/>
        <w:rPr>
          <w:rFonts w:ascii="Times New Roman" w:cs="Times New Roman" w:eastAsia="Times New Roman" w:hAnsi="Times New Roman"/>
          <w:sz w:val="20"/>
          <w:szCs w:val="20"/>
          <w:color w:val="auto"/>
        </w:rPr>
      </w:pPr>
    </w:p>
    <w:p>
      <w:pPr>
        <w:ind w:left="2000" w:hanging="710"/>
        <w:spacing w:after="0"/>
        <w:tabs>
          <w:tab w:leader="none" w:pos="2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Fair Market Value in good faith, if necessary;</w:t>
      </w:r>
    </w:p>
    <w:p>
      <w:pPr>
        <w:spacing w:after="0" w:line="188" w:lineRule="exact"/>
        <w:rPr>
          <w:rFonts w:ascii="Times New Roman" w:cs="Times New Roman" w:eastAsia="Times New Roman" w:hAnsi="Times New Roman"/>
          <w:sz w:val="20"/>
          <w:szCs w:val="20"/>
          <w:color w:val="auto"/>
        </w:rPr>
      </w:pPr>
    </w:p>
    <w:p>
      <w:pPr>
        <w:ind w:left="1980" w:hanging="690"/>
        <w:spacing w:after="0"/>
        <w:tabs>
          <w:tab w:leader="none" w:pos="1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 waivers of Plan or Award conditions;</w:t>
      </w:r>
    </w:p>
    <w:p>
      <w:pPr>
        <w:spacing w:after="0" w:line="188" w:lineRule="exact"/>
        <w:rPr>
          <w:rFonts w:ascii="Times New Roman" w:cs="Times New Roman" w:eastAsia="Times New Roman" w:hAnsi="Times New Roman"/>
          <w:sz w:val="20"/>
          <w:szCs w:val="20"/>
          <w:color w:val="auto"/>
        </w:rPr>
      </w:pPr>
    </w:p>
    <w:p>
      <w:pPr>
        <w:ind w:right="180" w:firstLine="1290"/>
        <w:spacing w:after="0" w:line="233" w:lineRule="auto"/>
        <w:tabs>
          <w:tab w:leader="none" w:pos="1991"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Correct any defect, supply any omission or reconcile any inconsistency in this Plan, any Award or any Award Agreement;</w:t>
      </w:r>
    </w:p>
    <w:p>
      <w:pPr>
        <w:spacing w:after="0" w:line="153" w:lineRule="exact"/>
        <w:rPr>
          <w:rFonts w:ascii="Times New Roman" w:cs="Times New Roman" w:eastAsia="Times New Roman" w:hAnsi="Times New Roman"/>
          <w:sz w:val="20"/>
          <w:szCs w:val="20"/>
          <w:color w:val="auto"/>
        </w:rPr>
      </w:pPr>
    </w:p>
    <w:p>
      <w:pPr>
        <w:ind w:left="2000" w:hanging="710"/>
        <w:spacing w:after="0"/>
        <w:tabs>
          <w:tab w:leader="none" w:pos="2000" w:val="left"/>
        </w:tabs>
        <w:numPr>
          <w:ilvl w:val="0"/>
          <w:numId w:val="3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whether an Award has been earned and whether any Performance Criteria has</w:t>
      </w: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been attained;</w:t>
      </w:r>
    </w:p>
    <w:p>
      <w:pPr>
        <w:spacing w:after="0" w:line="166" w:lineRule="exact"/>
        <w:rPr>
          <w:rFonts w:ascii="Times New Roman" w:cs="Times New Roman" w:eastAsia="Times New Roman" w:hAnsi="Times New Roman"/>
          <w:sz w:val="19"/>
          <w:szCs w:val="19"/>
          <w:color w:val="auto"/>
        </w:rPr>
      </w:pPr>
    </w:p>
    <w:p>
      <w:pPr>
        <w:ind w:left="1980" w:hanging="690"/>
        <w:spacing w:after="0"/>
        <w:tabs>
          <w:tab w:leader="none" w:pos="198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Decide all other matters that must be determined in connection with an Award;</w:t>
      </w:r>
    </w:p>
    <w:p>
      <w:pPr>
        <w:spacing w:after="0" w:line="188" w:lineRule="exact"/>
        <w:rPr>
          <w:rFonts w:ascii="Times New Roman" w:cs="Times New Roman" w:eastAsia="Times New Roman" w:hAnsi="Times New Roman"/>
          <w:sz w:val="20"/>
          <w:szCs w:val="20"/>
          <w:color w:val="auto"/>
        </w:rPr>
      </w:pPr>
    </w:p>
    <w:p>
      <w:pPr>
        <w:ind w:right="740" w:firstLine="1290"/>
        <w:spacing w:after="0" w:line="233" w:lineRule="auto"/>
        <w:tabs>
          <w:tab w:leader="none" w:pos="2022"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Establish, adopt, or revise any rules and regulations as it may deem necessary or advisable to administer the Plan;</w:t>
      </w:r>
    </w:p>
    <w:p>
      <w:pPr>
        <w:spacing w:after="0" w:line="141" w:lineRule="exact"/>
        <w:rPr>
          <w:rFonts w:ascii="Times New Roman" w:cs="Times New Roman" w:eastAsia="Times New Roman" w:hAnsi="Times New Roman"/>
          <w:sz w:val="20"/>
          <w:szCs w:val="20"/>
          <w:color w:val="auto"/>
        </w:rPr>
      </w:pPr>
    </w:p>
    <w:p>
      <w:pPr>
        <w:ind w:left="2000" w:hanging="710"/>
        <w:spacing w:after="0"/>
        <w:tabs>
          <w:tab w:leader="none" w:pos="2000"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Interpret the terms of, and any matter arising pursuant to, the Plan or any Award</w:t>
      </w: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166" w:lineRule="exact"/>
        <w:rPr>
          <w:rFonts w:ascii="Times New Roman" w:cs="Times New Roman" w:eastAsia="Times New Roman" w:hAnsi="Times New Roman"/>
          <w:sz w:val="20"/>
          <w:szCs w:val="20"/>
          <w:color w:val="auto"/>
        </w:rPr>
      </w:pPr>
    </w:p>
    <w:p>
      <w:pPr>
        <w:ind w:right="100" w:firstLine="1290"/>
        <w:spacing w:after="0" w:line="233" w:lineRule="auto"/>
        <w:tabs>
          <w:tab w:leader="none" w:pos="20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all other decisions and determinations that may be required pursuant to the Plan or as the Administrator deems necessary or advisable to administer the Plan; and</w:t>
      </w:r>
    </w:p>
    <w:p>
      <w:pPr>
        <w:spacing w:after="0" w:line="160" w:lineRule="exact"/>
        <w:rPr>
          <w:rFonts w:ascii="Times New Roman" w:cs="Times New Roman" w:eastAsia="Times New Roman" w:hAnsi="Times New Roman"/>
          <w:sz w:val="20"/>
          <w:szCs w:val="20"/>
          <w:color w:val="auto"/>
        </w:rPr>
      </w:pPr>
    </w:p>
    <w:p>
      <w:pPr>
        <w:jc w:val="both"/>
        <w:ind w:right="40" w:firstLine="1290"/>
        <w:spacing w:after="0" w:line="226" w:lineRule="auto"/>
        <w:tabs>
          <w:tab w:leader="none" w:pos="2008" w:val="left"/>
        </w:tabs>
        <w:numPr>
          <w:ilvl w:val="0"/>
          <w:numId w:val="3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Accelerate wholly or partially the vesting or lapse of restrictions of any Award or portion thereof at any time after the grant of an Award, subject to whatever terms and conditions it selects and Sections 3.4 and 12.2(c).</w:t>
      </w:r>
    </w:p>
    <w:p>
      <w:pPr>
        <w:spacing w:after="0" w:line="3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5871845" cy="508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20"/>
          </w:cols>
          <w:pgMar w:left="1360" w:top="436" w:right="1419" w:bottom="1440" w:gutter="0" w:footer="0" w:header="0"/>
        </w:sectPr>
      </w:pPr>
    </w:p>
    <w:bookmarkStart w:id="31" w:name="page32"/>
    <w:bookmarkEnd w:id="31"/>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11.5</w:t>
      </w:r>
      <w:r>
        <w:rPr>
          <w:sz w:val="20"/>
          <w:szCs w:val="20"/>
          <w:color w:val="auto"/>
        </w:rPr>
        <w:tab/>
      </w:r>
      <w:r>
        <w:rPr>
          <w:rFonts w:ascii="Times New Roman" w:cs="Times New Roman" w:eastAsia="Times New Roman" w:hAnsi="Times New Roman"/>
          <w:sz w:val="19"/>
          <w:szCs w:val="19"/>
          <w:u w:val="single" w:color="auto"/>
          <w:color w:val="auto"/>
        </w:rPr>
        <w:t>Decisions Binding.</w:t>
      </w:r>
    </w:p>
    <w:p>
      <w:pPr>
        <w:spacing w:after="0" w:line="184" w:lineRule="exact"/>
        <w:rPr>
          <w:sz w:val="20"/>
          <w:szCs w:val="20"/>
          <w:color w:val="auto"/>
        </w:rPr>
      </w:pPr>
    </w:p>
    <w:p>
      <w:pPr>
        <w:jc w:val="both"/>
        <w:ind w:right="280" w:firstLine="697"/>
        <w:spacing w:after="0" w:line="234" w:lineRule="auto"/>
        <w:rPr>
          <w:sz w:val="20"/>
          <w:szCs w:val="20"/>
          <w:color w:val="auto"/>
        </w:rPr>
      </w:pPr>
      <w:r>
        <w:rPr>
          <w:rFonts w:ascii="Times New Roman" w:cs="Times New Roman" w:eastAsia="Times New Roman" w:hAnsi="Times New Roman"/>
          <w:sz w:val="19"/>
          <w:szCs w:val="19"/>
          <w:color w:val="auto"/>
        </w:rPr>
        <w:t>The Administrator’s interpretation of the Plan, any Awards granted pursuant to the Plan and any Award Agreement and all decisions and determinations by the Administrator with respect to the Plan are final, binding,</w:t>
      </w:r>
    </w:p>
    <w:p>
      <w:pPr>
        <w:spacing w:after="0" w:line="1" w:lineRule="exact"/>
        <w:rPr>
          <w:sz w:val="20"/>
          <w:szCs w:val="20"/>
          <w:color w:val="auto"/>
        </w:rPr>
      </w:pPr>
    </w:p>
    <w:p>
      <w:pPr>
        <w:ind w:right="140"/>
        <w:spacing w:after="0" w:line="215" w:lineRule="auto"/>
        <w:rPr>
          <w:sz w:val="20"/>
          <w:szCs w:val="20"/>
          <w:color w:val="auto"/>
        </w:rPr>
      </w:pPr>
      <w:r>
        <w:rPr>
          <w:rFonts w:ascii="Times New Roman" w:cs="Times New Roman" w:eastAsia="Times New Roman" w:hAnsi="Times New Roman"/>
          <w:sz w:val="19"/>
          <w:szCs w:val="19"/>
          <w:color w:val="auto"/>
        </w:rPr>
        <w:t>and conclusive on all parties. Any dispute regarding the interpretation of the Plan or any Award Agreement shall be submitted by the Participant or Company to the Committee for review. The resolution of such a dispute by the</w:t>
      </w:r>
    </w:p>
    <w:p>
      <w:pPr>
        <w:spacing w:after="0"/>
        <w:rPr>
          <w:sz w:val="20"/>
          <w:szCs w:val="20"/>
          <w:color w:val="auto"/>
        </w:rPr>
      </w:pPr>
      <w:r>
        <w:rPr>
          <w:rFonts w:ascii="Times New Roman" w:cs="Times New Roman" w:eastAsia="Times New Roman" w:hAnsi="Times New Roman"/>
          <w:sz w:val="20"/>
          <w:szCs w:val="20"/>
          <w:color w:val="auto"/>
        </w:rPr>
        <w:t>Committee shall be final and binding on the Company and the Participant.</w:t>
      </w:r>
    </w:p>
    <w:p>
      <w:pPr>
        <w:spacing w:after="0" w:line="162"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11.6</w:t>
      </w:r>
      <w:r>
        <w:rPr>
          <w:sz w:val="20"/>
          <w:szCs w:val="20"/>
          <w:color w:val="auto"/>
        </w:rPr>
        <w:tab/>
      </w:r>
      <w:r>
        <w:rPr>
          <w:rFonts w:ascii="Times New Roman" w:cs="Times New Roman" w:eastAsia="Times New Roman" w:hAnsi="Times New Roman"/>
          <w:sz w:val="19"/>
          <w:szCs w:val="19"/>
          <w:u w:val="single" w:color="auto"/>
          <w:color w:val="auto"/>
        </w:rPr>
        <w:t>Delegation of Authority.</w:t>
      </w:r>
    </w:p>
    <w:p>
      <w:pPr>
        <w:spacing w:after="0" w:line="184" w:lineRule="exact"/>
        <w:rPr>
          <w:sz w:val="20"/>
          <w:szCs w:val="20"/>
          <w:color w:val="auto"/>
        </w:rPr>
      </w:pPr>
    </w:p>
    <w:p>
      <w:pPr>
        <w:ind w:right="160" w:firstLine="648"/>
        <w:spacing w:after="0" w:line="227" w:lineRule="auto"/>
        <w:rPr>
          <w:sz w:val="20"/>
          <w:szCs w:val="20"/>
          <w:color w:val="auto"/>
        </w:rPr>
      </w:pPr>
      <w:r>
        <w:rPr>
          <w:rFonts w:ascii="Times New Roman" w:cs="Times New Roman" w:eastAsia="Times New Roman" w:hAnsi="Times New Roman"/>
          <w:sz w:val="19"/>
          <w:szCs w:val="19"/>
          <w:color w:val="auto"/>
        </w:rPr>
        <w:t>To the extent permitted by Applicable Law, the Board or Committee may from time to time delegate to a committee of one or more members of the Board or one or more officers of the Company the authority to grant or</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amend Awards or to take other administrative actions pursuant to this Article 11;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in no</w:t>
      </w:r>
    </w:p>
    <w:p>
      <w:pPr>
        <w:spacing w:after="0" w:line="1" w:lineRule="exact"/>
        <w:rPr>
          <w:sz w:val="20"/>
          <w:szCs w:val="20"/>
          <w:color w:val="auto"/>
        </w:rPr>
      </w:pPr>
    </w:p>
    <w:p>
      <w:pPr>
        <w:ind w:right="180"/>
        <w:spacing w:after="0" w:line="215" w:lineRule="auto"/>
        <w:rPr>
          <w:sz w:val="20"/>
          <w:szCs w:val="20"/>
          <w:color w:val="auto"/>
        </w:rPr>
      </w:pPr>
      <w:r>
        <w:rPr>
          <w:rFonts w:ascii="Times New Roman" w:cs="Times New Roman" w:eastAsia="Times New Roman" w:hAnsi="Times New Roman"/>
          <w:sz w:val="19"/>
          <w:szCs w:val="19"/>
          <w:color w:val="auto"/>
        </w:rPr>
        <w:t>event shall an officer of the Company be delegated the authority to grant awards to, or amend awards held by, the following individuals: (a) individuals who are subject to Section 16 of the Exchange Act or (b) officers of the</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Company (or Directors) to whom authority to grant or amend Awards has been delegated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p>
    <w:p>
      <w:pPr>
        <w:ind w:right="100" w:firstLine="49"/>
        <w:spacing w:after="0" w:line="204" w:lineRule="auto"/>
        <w:rPr>
          <w:sz w:val="20"/>
          <w:szCs w:val="20"/>
          <w:color w:val="auto"/>
        </w:rPr>
      </w:pP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delegation of administrative authority shall only be permitted to the extent it is permissible under Applicable Law. Any delegation hereunder shall be subject to the restrictions and limits that the Board or</w:t>
      </w:r>
    </w:p>
    <w:p>
      <w:pPr>
        <w:spacing w:after="0" w:line="211" w:lineRule="auto"/>
        <w:rPr>
          <w:sz w:val="20"/>
          <w:szCs w:val="20"/>
          <w:color w:val="auto"/>
        </w:rPr>
      </w:pPr>
      <w:r>
        <w:rPr>
          <w:rFonts w:ascii="Times New Roman" w:cs="Times New Roman" w:eastAsia="Times New Roman" w:hAnsi="Times New Roman"/>
          <w:sz w:val="20"/>
          <w:szCs w:val="20"/>
          <w:color w:val="auto"/>
        </w:rPr>
        <w:t>Committee specifies at the time of such delegation, and the Board may at any time rescind the authority so</w:t>
      </w:r>
    </w:p>
    <w:p>
      <w:pPr>
        <w:spacing w:after="0" w:line="1" w:lineRule="exact"/>
        <w:rPr>
          <w:sz w:val="20"/>
          <w:szCs w:val="20"/>
          <w:color w:val="auto"/>
        </w:rPr>
      </w:pPr>
    </w:p>
    <w:p>
      <w:pPr>
        <w:ind w:right="220"/>
        <w:spacing w:after="0" w:line="221" w:lineRule="auto"/>
        <w:rPr>
          <w:sz w:val="20"/>
          <w:szCs w:val="20"/>
          <w:color w:val="auto"/>
        </w:rPr>
      </w:pPr>
      <w:r>
        <w:rPr>
          <w:rFonts w:ascii="Times New Roman" w:cs="Times New Roman" w:eastAsia="Times New Roman" w:hAnsi="Times New Roman"/>
          <w:sz w:val="20"/>
          <w:szCs w:val="20"/>
          <w:color w:val="auto"/>
        </w:rPr>
        <w:t>delegated or appoint a new delegatee. At all times, the delegatee appointed under this Section 11.6 shall serve in such capacity at the pleasure of the Board and the Committee.</w:t>
      </w:r>
    </w:p>
    <w:p>
      <w:pPr>
        <w:spacing w:after="0" w:line="15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ARTICLE 12.</w:t>
      </w:r>
    </w:p>
    <w:p>
      <w:pPr>
        <w:spacing w:after="0" w:line="161" w:lineRule="exact"/>
        <w:rPr>
          <w:sz w:val="20"/>
          <w:szCs w:val="20"/>
          <w:color w:val="auto"/>
        </w:rPr>
      </w:pPr>
    </w:p>
    <w:p>
      <w:pPr>
        <w:ind w:left="640" w:right="3440" w:firstLine="2186"/>
        <w:spacing w:after="0" w:line="455" w:lineRule="auto"/>
        <w:rPr>
          <w:sz w:val="20"/>
          <w:szCs w:val="20"/>
          <w:color w:val="auto"/>
        </w:rPr>
      </w:pPr>
      <w:r>
        <w:rPr>
          <w:rFonts w:ascii="Times New Roman" w:cs="Times New Roman" w:eastAsia="Times New Roman" w:hAnsi="Times New Roman"/>
          <w:sz w:val="19"/>
          <w:szCs w:val="19"/>
          <w:color w:val="auto"/>
        </w:rPr>
        <w:t xml:space="preserve">MISCELLANEOUS PROVISIONS </w:t>
      </w:r>
      <w:r>
        <w:rPr>
          <w:rFonts w:ascii="Times New Roman" w:cs="Times New Roman" w:eastAsia="Times New Roman" w:hAnsi="Times New Roman"/>
          <w:sz w:val="20"/>
          <w:szCs w:val="20"/>
          <w:color w:val="auto"/>
        </w:rPr>
        <w:t xml:space="preserve">12.1 </w:t>
      </w:r>
      <w:r>
        <w:rPr>
          <w:rFonts w:ascii="Times New Roman" w:cs="Times New Roman" w:eastAsia="Times New Roman" w:hAnsi="Times New Roman"/>
          <w:sz w:val="18"/>
          <w:szCs w:val="18"/>
          <w:u w:val="single" w:color="auto"/>
          <w:color w:val="auto"/>
        </w:rPr>
        <w:t>Amendment, Suspension or Termination of the Plan.</w:t>
      </w:r>
    </w:p>
    <w:p>
      <w:pPr>
        <w:ind w:right="40" w:firstLine="1290"/>
        <w:spacing w:after="0" w:line="213" w:lineRule="auto"/>
        <w:tabs>
          <w:tab w:leader="none" w:pos="1997"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provided in this Section 12.1, the Plan may be wholly or partially amended or otherwise modified, suspended or terminated at any time or from time to time by the Board or the Committee. However, without approval of the Company’s stockholders given within twelve (12) months before or after the action by the Administrator, no action of the Administrator may, except as provided in Section 12.2, increase the limits imposed in Section 3.1 on the maximum number of Shares which may be issued under the Plan. Except as provided in Section 12.10, no amendment, suspension or termination of the Plan shall, without the consent of the Holder, impair any rights or obligations under any Award theretofore granted or awarded, unless the Award itself otherwise expressly so provides.</w:t>
      </w:r>
    </w:p>
    <w:p>
      <w:pPr>
        <w:spacing w:after="0" w:line="162" w:lineRule="exact"/>
        <w:rPr>
          <w:rFonts w:ascii="Times New Roman" w:cs="Times New Roman" w:eastAsia="Times New Roman" w:hAnsi="Times New Roman"/>
          <w:sz w:val="20"/>
          <w:szCs w:val="20"/>
          <w:color w:val="auto"/>
        </w:rPr>
      </w:pPr>
    </w:p>
    <w:p>
      <w:pPr>
        <w:jc w:val="both"/>
        <w:ind w:right="100" w:firstLine="1290"/>
        <w:spacing w:after="0" w:line="222" w:lineRule="auto"/>
        <w:tabs>
          <w:tab w:leader="none" w:pos="2008"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Board or the Committee may, without stockholder approval, (i) amend any Award to reduce the per share exercise price of such an Award below the per share exercise price as of the date the Award is granted and (ii) grant an Award in exchange for, or in connection with, the cancellation or surrender of an Award having a higher per share exercise price.</w:t>
      </w:r>
    </w:p>
    <w:p>
      <w:pPr>
        <w:spacing w:after="0" w:line="161" w:lineRule="exact"/>
        <w:rPr>
          <w:rFonts w:ascii="Times New Roman" w:cs="Times New Roman" w:eastAsia="Times New Roman" w:hAnsi="Times New Roman"/>
          <w:sz w:val="20"/>
          <w:szCs w:val="20"/>
          <w:color w:val="auto"/>
        </w:rPr>
      </w:pPr>
    </w:p>
    <w:p>
      <w:pPr>
        <w:ind w:firstLine="1290"/>
        <w:spacing w:after="0" w:line="234" w:lineRule="auto"/>
        <w:tabs>
          <w:tab w:leader="none" w:pos="1997" w:val="left"/>
        </w:tabs>
        <w:numPr>
          <w:ilvl w:val="0"/>
          <w:numId w:val="3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Awards may be granted or awarded during any period of suspension or after termination of the Plan, and in no event may any Award be granted under the Plan after the tenth (10th) anniversary of the date this Plan is approved by the Board (the “Expiration Date”). Any Awards that are outstanding on the Expiration Date shall remain in force according to the terms of the Plan and the applicable Award Agreement.</w:t>
      </w:r>
    </w:p>
    <w:p>
      <w:pPr>
        <w:spacing w:after="0" w:line="156" w:lineRule="exact"/>
        <w:rPr>
          <w:sz w:val="20"/>
          <w:szCs w:val="20"/>
          <w:color w:val="auto"/>
        </w:rPr>
      </w:pPr>
    </w:p>
    <w:p>
      <w:pPr>
        <w:ind w:right="740" w:firstLine="648"/>
        <w:spacing w:after="0" w:line="227" w:lineRule="auto"/>
        <w:rPr>
          <w:sz w:val="20"/>
          <w:szCs w:val="20"/>
          <w:color w:val="auto"/>
        </w:rPr>
      </w:pPr>
      <w:r>
        <w:rPr>
          <w:rFonts w:ascii="Times New Roman" w:cs="Times New Roman" w:eastAsia="Times New Roman" w:hAnsi="Times New Roman"/>
          <w:sz w:val="22"/>
          <w:szCs w:val="22"/>
          <w:color w:val="auto"/>
        </w:rPr>
        <w:t xml:space="preserve">12.2 </w:t>
      </w:r>
      <w:r>
        <w:rPr>
          <w:rFonts w:ascii="Times New Roman" w:cs="Times New Roman" w:eastAsia="Times New Roman" w:hAnsi="Times New Roman"/>
          <w:sz w:val="19"/>
          <w:szCs w:val="19"/>
          <w:u w:val="single" w:color="auto"/>
          <w:color w:val="auto"/>
        </w:rPr>
        <w:t>Changes in Common Stock or Assets of the Company, Acquisition or Liquidation of the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u w:val="single" w:color="auto"/>
          <w:color w:val="auto"/>
        </w:rPr>
        <w:t>Company and Other Corporate Events.</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5871845" cy="508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40"/>
          </w:cols>
          <w:pgMar w:left="1360" w:top="436" w:right="1399" w:bottom="1440" w:gutter="0" w:footer="0" w:header="0"/>
        </w:sectPr>
      </w:pPr>
    </w:p>
    <w:bookmarkStart w:id="32" w:name="page33"/>
    <w:bookmarkEnd w:id="32"/>
    <w:p>
      <w:pPr>
        <w:ind w:left="6" w:firstLine="1290"/>
        <w:spacing w:after="0" w:line="221" w:lineRule="auto"/>
        <w:tabs>
          <w:tab w:leader="none" w:pos="2003"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the event of any stock dividend, stock split, subdivision, combination or exchange of shares, merger, consolidation, distribution (other than normal cash dividends) of Company assets to stockholders, reclassification, recapitalization, or any other change affecting the Shares of the Company’s stock or the share price of the Company’s stock, the Administrator shall make equitable adjustments, if any, to reflect such change with respect to (i) the aggregate number and kind of Shares that may be issued under the Plan (including, but not limited to, adjustments of the limitations in Section 3.1 on the maximum number and kind of Shares which may be issued under the Plan); (ii) the number and kind of Shares (or other securities or property) subject to outstanding Awards;</w:t>
      </w:r>
    </w:p>
    <w:p>
      <w:pPr>
        <w:spacing w:after="0" w:line="4" w:lineRule="exact"/>
        <w:rPr>
          <w:rFonts w:ascii="Times New Roman" w:cs="Times New Roman" w:eastAsia="Times New Roman" w:hAnsi="Times New Roman"/>
          <w:sz w:val="19"/>
          <w:szCs w:val="19"/>
          <w:color w:val="auto"/>
        </w:rPr>
      </w:pPr>
    </w:p>
    <w:p>
      <w:pPr>
        <w:ind w:left="6" w:hanging="6"/>
        <w:spacing w:after="0" w:line="218" w:lineRule="auto"/>
        <w:tabs>
          <w:tab w:leader="none" w:pos="352"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terms and conditions of any outstanding Awards (including, without limitation, any applicable performance targets or criteria with respect thereto); and (iv) the grant or exercise price per share for any outstanding Awards under the Plan.</w:t>
      </w:r>
    </w:p>
    <w:p>
      <w:pPr>
        <w:spacing w:after="0" w:line="161" w:lineRule="exact"/>
        <w:rPr>
          <w:rFonts w:ascii="Times New Roman" w:cs="Times New Roman" w:eastAsia="Times New Roman" w:hAnsi="Times New Roman"/>
          <w:sz w:val="20"/>
          <w:szCs w:val="20"/>
          <w:color w:val="auto"/>
        </w:rPr>
      </w:pPr>
    </w:p>
    <w:p>
      <w:pPr>
        <w:ind w:left="6" w:firstLine="1290"/>
        <w:spacing w:after="0" w:line="212" w:lineRule="auto"/>
        <w:tabs>
          <w:tab w:leader="none" w:pos="201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transaction or event described in Section 12.2(a) or any unusual or nonrecurring transactions or events affecting the Company, any Subsidiary of the Company, or the financial statements of the Company or any Subsidiary, or of changes in Applicable Law or accounting principles, including, without limitation, a Change in Control, the Administrator, in its sole discretion, and on such terms and conditions as it deems appropriate, either by the terms of the Award or by action taken prior to the occurrence of such transaction or event and either automatically or upon the Holder’s request, is hereby authorized to take any one or more of the following actions whenever the Administrator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200" w:lineRule="exact"/>
        <w:rPr>
          <w:rFonts w:ascii="Times New Roman" w:cs="Times New Roman" w:eastAsia="Times New Roman" w:hAnsi="Times New Roman"/>
          <w:sz w:val="20"/>
          <w:szCs w:val="20"/>
          <w:color w:val="auto"/>
        </w:rPr>
      </w:pPr>
    </w:p>
    <w:p>
      <w:pPr>
        <w:ind w:left="6" w:right="100" w:firstLine="1938"/>
        <w:spacing w:after="0" w:line="212" w:lineRule="auto"/>
        <w:tabs>
          <w:tab w:leader="none" w:pos="2685"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provide for either (A) termination of any such Award in exchange for an amount of cash, if any, equal to the amount that would have been attained upon the exercise of such Award or realization of the Holder’s rights (and, for the avoidance of doubt, if as of the date of the occurrence of the transaction or event described in this Section 12.2 the Administrator determines in good faith that no amount would have been attained upon the exercise of such Award or realization of the Holder’s rights, then such Award may be terminated by the Company without payment) or (B) the replacement of such Award with other rights or property selected by the Administrator in its sole discretion having an aggregate value not exceeding the amount that could have been attained upon the exercise of such Award or realization of the Holder’s rights had such Award been currently exercisable or payable or fully vested;</w:t>
      </w:r>
    </w:p>
    <w:p>
      <w:pPr>
        <w:spacing w:after="0" w:line="184" w:lineRule="exact"/>
        <w:rPr>
          <w:rFonts w:ascii="Times New Roman" w:cs="Times New Roman" w:eastAsia="Times New Roman" w:hAnsi="Times New Roman"/>
          <w:sz w:val="22"/>
          <w:szCs w:val="22"/>
          <w:color w:val="auto"/>
        </w:rPr>
      </w:pPr>
    </w:p>
    <w:p>
      <w:pPr>
        <w:ind w:left="6" w:firstLine="1938"/>
        <w:spacing w:after="0" w:line="216" w:lineRule="auto"/>
        <w:tabs>
          <w:tab w:leader="none" w:pos="270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provide that such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85" w:lineRule="exact"/>
        <w:rPr>
          <w:rFonts w:ascii="Times New Roman" w:cs="Times New Roman" w:eastAsia="Times New Roman" w:hAnsi="Times New Roman"/>
          <w:sz w:val="22"/>
          <w:szCs w:val="22"/>
          <w:color w:val="auto"/>
        </w:rPr>
      </w:pPr>
    </w:p>
    <w:p>
      <w:pPr>
        <w:jc w:val="both"/>
        <w:ind w:left="6" w:right="20" w:firstLine="1938"/>
        <w:spacing w:after="0" w:line="216" w:lineRule="auto"/>
        <w:tabs>
          <w:tab w:leader="none" w:pos="2724"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make adjustments in the number and type of Shares of the Company’s stock (or other securities or property) subject to outstanding Awards, and in the number and kind of outstanding Restricted Stock and/or in the terms and conditions of (including the grant or exercise price), and the criteria included in, outstanding Awards and Awards which may be granted in the future;</w:t>
      </w:r>
    </w:p>
    <w:p>
      <w:pPr>
        <w:spacing w:after="0" w:line="185" w:lineRule="exact"/>
        <w:rPr>
          <w:rFonts w:ascii="Times New Roman" w:cs="Times New Roman" w:eastAsia="Times New Roman" w:hAnsi="Times New Roman"/>
          <w:sz w:val="22"/>
          <w:szCs w:val="22"/>
          <w:color w:val="auto"/>
        </w:rPr>
      </w:pPr>
    </w:p>
    <w:p>
      <w:pPr>
        <w:ind w:left="6" w:firstLine="1938"/>
        <w:spacing w:after="0" w:line="220" w:lineRule="auto"/>
        <w:tabs>
          <w:tab w:leader="none" w:pos="2712"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provide that such Award shall be exercisable or payable or fully vested with respect to all Shares covered thereby, notwithstanding anything to the contrary in the Plan or the applicable Award Agreement; and</w:t>
      </w:r>
    </w:p>
    <w:p>
      <w:pPr>
        <w:spacing w:after="0" w:line="167" w:lineRule="exact"/>
        <w:rPr>
          <w:rFonts w:ascii="Times New Roman" w:cs="Times New Roman" w:eastAsia="Times New Roman" w:hAnsi="Times New Roman"/>
          <w:sz w:val="22"/>
          <w:szCs w:val="22"/>
          <w:color w:val="auto"/>
        </w:rPr>
      </w:pPr>
    </w:p>
    <w:p>
      <w:pPr>
        <w:ind w:left="2686" w:hanging="742"/>
        <w:spacing w:after="0"/>
        <w:tabs>
          <w:tab w:leader="none" w:pos="2686" w:val="left"/>
        </w:tabs>
        <w:numPr>
          <w:ilvl w:val="2"/>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To provide that the Award cannot vest, be exercised or become payable after such event.</w:t>
      </w:r>
    </w:p>
    <w:p>
      <w:pPr>
        <w:spacing w:after="0" w:line="166" w:lineRule="exact"/>
        <w:rPr>
          <w:rFonts w:ascii="Times New Roman" w:cs="Times New Roman" w:eastAsia="Times New Roman" w:hAnsi="Times New Roman"/>
          <w:sz w:val="22"/>
          <w:szCs w:val="22"/>
          <w:color w:val="auto"/>
        </w:rPr>
      </w:pPr>
    </w:p>
    <w:p>
      <w:pPr>
        <w:ind w:left="6" w:right="20" w:firstLine="1290"/>
        <w:spacing w:after="0" w:line="215" w:lineRule="auto"/>
        <w:tabs>
          <w:tab w:leader="none" w:pos="2003"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successor corporation in a Change in Control fails for any reason to assume or substitute for an Award upon the Change in Control, such Award shall become fully vested and, if applicable, exercisable and all forfeiture restrictions on such Award shall lapse as of immediately prior to the consummation of such Change in Control. If an Award is exercisable in lieu of assumption or substitution in the event of a Change in Control, the Administrator shall notify the Holder that the Award shall be fully exercisable for a period of fifteen (15) days from the date of such notice, contingent upon the occurrence of the Change in Control, and the Award shall terminate upon the expiration of such period.</w:t>
      </w:r>
    </w:p>
    <w:p>
      <w:pPr>
        <w:spacing w:after="0" w:line="38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5871845"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46"/>
          </w:cols>
          <w:pgMar w:left="1354" w:top="441" w:right="1399" w:bottom="1440" w:gutter="0" w:footer="0" w:header="0"/>
        </w:sectPr>
      </w:pPr>
    </w:p>
    <w:bookmarkStart w:id="33" w:name="page34"/>
    <w:bookmarkEnd w:id="33"/>
    <w:p>
      <w:pPr>
        <w:jc w:val="both"/>
        <w:ind w:left="6" w:right="720" w:firstLine="1290"/>
        <w:spacing w:after="0" w:line="230" w:lineRule="auto"/>
        <w:tabs>
          <w:tab w:leader="none" w:pos="2014" w:val="left"/>
        </w:tabs>
        <w:numPr>
          <w:ilvl w:val="1"/>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in its sole discretion, include such further provisions and limitations in any Award, agreement or certificate, as it may deem equitable and in the best interests of the Company that are not inconsistent with the provisions of the Plan.</w:t>
      </w:r>
    </w:p>
    <w:p>
      <w:pPr>
        <w:spacing w:after="0" w:line="148" w:lineRule="exact"/>
        <w:rPr>
          <w:rFonts w:ascii="Times New Roman" w:cs="Times New Roman" w:eastAsia="Times New Roman" w:hAnsi="Times New Roman"/>
          <w:sz w:val="20"/>
          <w:szCs w:val="20"/>
          <w:color w:val="auto"/>
        </w:rPr>
      </w:pPr>
    </w:p>
    <w:p>
      <w:pPr>
        <w:ind w:left="6" w:right="60" w:firstLine="1290"/>
        <w:spacing w:after="0" w:line="234" w:lineRule="auto"/>
        <w:tabs>
          <w:tab w:leader="none" w:pos="2003" w:val="left"/>
        </w:tabs>
        <w:numPr>
          <w:ilvl w:val="1"/>
          <w:numId w:val="3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 adjustment or action described in this Section 12.2 or in any other provision of the Plan shall be authorized to the extent that such adjustment or action would cause the Plan to violate Section 422(b)</w:t>
      </w:r>
    </w:p>
    <w:p>
      <w:pPr>
        <w:jc w:val="both"/>
        <w:ind w:left="6" w:right="320" w:hanging="6"/>
        <w:spacing w:after="0" w:line="229" w:lineRule="auto"/>
        <w:tabs>
          <w:tab w:leader="none" w:pos="286" w:val="left"/>
        </w:tabs>
        <w:numPr>
          <w:ilvl w:val="0"/>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of the Code. Furthermore, no such adjustment or action shall be authorized to the extent such adjustment or action would result in short-swing profits liability under Section 16 or violate the exemptive conditions of Rule 16b-3 unless the Administrator determines that the Award is not to comply with such exemptive conditions.</w:t>
      </w:r>
    </w:p>
    <w:p>
      <w:pPr>
        <w:spacing w:after="0" w:line="149" w:lineRule="exact"/>
        <w:rPr>
          <w:rFonts w:ascii="Times New Roman" w:cs="Times New Roman" w:eastAsia="Times New Roman" w:hAnsi="Times New Roman"/>
          <w:sz w:val="19"/>
          <w:szCs w:val="19"/>
          <w:color w:val="auto"/>
        </w:rPr>
      </w:pPr>
    </w:p>
    <w:p>
      <w:pPr>
        <w:ind w:left="6" w:right="100" w:firstLine="1290"/>
        <w:spacing w:after="0" w:line="215" w:lineRule="auto"/>
        <w:tabs>
          <w:tab w:leader="none" w:pos="1995"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existence of the Plan, any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47" w:lineRule="exact"/>
        <w:rPr>
          <w:rFonts w:ascii="Times New Roman" w:cs="Times New Roman" w:eastAsia="Times New Roman" w:hAnsi="Times New Roman"/>
          <w:sz w:val="20"/>
          <w:szCs w:val="20"/>
          <w:color w:val="auto"/>
        </w:rPr>
      </w:pPr>
    </w:p>
    <w:p>
      <w:pPr>
        <w:jc w:val="both"/>
        <w:ind w:left="6" w:right="360" w:firstLine="1290"/>
        <w:spacing w:after="0" w:line="230" w:lineRule="auto"/>
        <w:tabs>
          <w:tab w:leader="none" w:pos="201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action shall be taken under this Section 12.2 which shall cause an Award to fail to comply with Section 409A of the Code or the Treasury Regulations thereunder, to the extent applicable to such Award.</w:t>
      </w:r>
    </w:p>
    <w:p>
      <w:pPr>
        <w:spacing w:after="0" w:line="148" w:lineRule="exact"/>
        <w:rPr>
          <w:rFonts w:ascii="Times New Roman" w:cs="Times New Roman" w:eastAsia="Times New Roman" w:hAnsi="Times New Roman"/>
          <w:sz w:val="20"/>
          <w:szCs w:val="20"/>
          <w:color w:val="auto"/>
        </w:rPr>
      </w:pPr>
    </w:p>
    <w:p>
      <w:pPr>
        <w:ind w:left="6" w:right="20" w:firstLine="1290"/>
        <w:spacing w:after="0" w:line="218" w:lineRule="auto"/>
        <w:tabs>
          <w:tab w:leader="none" w:pos="2014"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any pending stock dividend, stock split, subdivision, combination or exchange of shares, merger, consolidation, distribution (other than normal cash dividends) of Company assets to stockholders, reclassification, recapitalization or any other change affecting the Shares or the share price of the Common Stock, for reasons of administrative convenience, the Company in its sole discretion may refuse to permit the exercise of any Award during a period of up to thirty (30) days prior to the consummation of any such transaction.</w:t>
      </w:r>
    </w:p>
    <w:p>
      <w:pPr>
        <w:spacing w:after="0" w:line="146" w:lineRule="exact"/>
        <w:rPr>
          <w:sz w:val="20"/>
          <w:szCs w:val="20"/>
          <w:color w:val="auto"/>
        </w:rPr>
      </w:pPr>
    </w:p>
    <w:p>
      <w:pPr>
        <w:ind w:left="646"/>
        <w:spacing w:after="0"/>
        <w:tabs>
          <w:tab w:leader="none" w:pos="1406" w:val="left"/>
        </w:tabs>
        <w:rPr>
          <w:sz w:val="20"/>
          <w:szCs w:val="20"/>
          <w:color w:val="auto"/>
        </w:rPr>
      </w:pPr>
      <w:r>
        <w:rPr>
          <w:rFonts w:ascii="Times New Roman" w:cs="Times New Roman" w:eastAsia="Times New Roman" w:hAnsi="Times New Roman"/>
          <w:sz w:val="22"/>
          <w:szCs w:val="22"/>
          <w:color w:val="auto"/>
        </w:rPr>
        <w:t>12.3</w:t>
      </w:r>
      <w:r>
        <w:rPr>
          <w:sz w:val="20"/>
          <w:szCs w:val="20"/>
          <w:color w:val="auto"/>
        </w:rPr>
        <w:tab/>
      </w:r>
      <w:r>
        <w:rPr>
          <w:rFonts w:ascii="Times New Roman" w:cs="Times New Roman" w:eastAsia="Times New Roman" w:hAnsi="Times New Roman"/>
          <w:sz w:val="19"/>
          <w:szCs w:val="19"/>
          <w:u w:val="single" w:color="auto"/>
          <w:color w:val="auto"/>
        </w:rPr>
        <w:t>Approval of Plan by Stockholders.</w:t>
      </w:r>
    </w:p>
    <w:p>
      <w:pPr>
        <w:spacing w:after="0" w:line="184" w:lineRule="exact"/>
        <w:rPr>
          <w:sz w:val="20"/>
          <w:szCs w:val="20"/>
          <w:color w:val="auto"/>
        </w:rPr>
      </w:pPr>
    </w:p>
    <w:p>
      <w:pPr>
        <w:ind w:left="6" w:right="360" w:firstLine="697"/>
        <w:spacing w:after="0"/>
        <w:rPr>
          <w:sz w:val="20"/>
          <w:szCs w:val="20"/>
          <w:color w:val="auto"/>
        </w:rPr>
      </w:pPr>
      <w:r>
        <w:rPr>
          <w:rFonts w:ascii="Times New Roman" w:cs="Times New Roman" w:eastAsia="Times New Roman" w:hAnsi="Times New Roman"/>
          <w:sz w:val="20"/>
          <w:szCs w:val="20"/>
          <w:color w:val="auto"/>
        </w:rPr>
        <w:t>The Plan will be submitted for the approval of the Company’s stockholders within twelve (12) months after the date of the Board’s initial adoption of the Plan.</w:t>
      </w:r>
    </w:p>
    <w:p>
      <w:pPr>
        <w:spacing w:after="0" w:line="156" w:lineRule="exact"/>
        <w:rPr>
          <w:sz w:val="20"/>
          <w:szCs w:val="20"/>
          <w:color w:val="auto"/>
        </w:rPr>
      </w:pPr>
    </w:p>
    <w:p>
      <w:pPr>
        <w:ind w:left="646"/>
        <w:spacing w:after="0"/>
        <w:tabs>
          <w:tab w:leader="none" w:pos="1406" w:val="left"/>
        </w:tabs>
        <w:rPr>
          <w:sz w:val="20"/>
          <w:szCs w:val="20"/>
          <w:color w:val="auto"/>
        </w:rPr>
      </w:pPr>
      <w:r>
        <w:rPr>
          <w:rFonts w:ascii="Times New Roman" w:cs="Times New Roman" w:eastAsia="Times New Roman" w:hAnsi="Times New Roman"/>
          <w:sz w:val="22"/>
          <w:szCs w:val="22"/>
          <w:color w:val="auto"/>
        </w:rPr>
        <w:t>12.4</w:t>
      </w:r>
      <w:r>
        <w:rPr>
          <w:sz w:val="20"/>
          <w:szCs w:val="20"/>
          <w:color w:val="auto"/>
        </w:rPr>
        <w:tab/>
      </w:r>
      <w:r>
        <w:rPr>
          <w:rFonts w:ascii="Times New Roman" w:cs="Times New Roman" w:eastAsia="Times New Roman" w:hAnsi="Times New Roman"/>
          <w:sz w:val="19"/>
          <w:szCs w:val="19"/>
          <w:u w:val="single" w:color="auto"/>
          <w:color w:val="auto"/>
        </w:rPr>
        <w:t>No Stockholders Rights.</w:t>
      </w:r>
    </w:p>
    <w:p>
      <w:pPr>
        <w:spacing w:after="0" w:line="184" w:lineRule="exact"/>
        <w:rPr>
          <w:sz w:val="20"/>
          <w:szCs w:val="20"/>
          <w:color w:val="auto"/>
        </w:rPr>
      </w:pPr>
    </w:p>
    <w:p>
      <w:pPr>
        <w:ind w:left="6" w:firstLine="648"/>
        <w:spacing w:after="0" w:line="215" w:lineRule="auto"/>
        <w:rPr>
          <w:sz w:val="20"/>
          <w:szCs w:val="20"/>
          <w:color w:val="auto"/>
        </w:rPr>
      </w:pPr>
      <w:r>
        <w:rPr>
          <w:rFonts w:ascii="Times New Roman" w:cs="Times New Roman" w:eastAsia="Times New Roman" w:hAnsi="Times New Roman"/>
          <w:sz w:val="20"/>
          <w:szCs w:val="20"/>
          <w:color w:val="auto"/>
        </w:rPr>
        <w:t>Except as otherwise provided herein, a Holder shall have none of the rights of a stockholder with respect to Shares covered by any Award until the Holder becomes the record owner of such Shares. Without limiting the</w:t>
      </w:r>
    </w:p>
    <w:p>
      <w:pPr>
        <w:ind w:left="6"/>
        <w:spacing w:after="0" w:line="212" w:lineRule="auto"/>
        <w:rPr>
          <w:sz w:val="20"/>
          <w:szCs w:val="20"/>
          <w:color w:val="auto"/>
        </w:rPr>
      </w:pPr>
      <w:r>
        <w:rPr>
          <w:rFonts w:ascii="Times New Roman" w:cs="Times New Roman" w:eastAsia="Times New Roman" w:hAnsi="Times New Roman"/>
          <w:sz w:val="20"/>
          <w:szCs w:val="20"/>
          <w:color w:val="auto"/>
        </w:rPr>
        <w:t>generality of the foregoing, no Holder will have any of the rights of a stockholder with respect to any Shares until</w:t>
      </w:r>
    </w:p>
    <w:p>
      <w:pPr>
        <w:spacing w:after="0" w:line="1" w:lineRule="exact"/>
        <w:rPr>
          <w:sz w:val="20"/>
          <w:szCs w:val="20"/>
          <w:color w:val="auto"/>
        </w:rPr>
      </w:pPr>
    </w:p>
    <w:p>
      <w:pPr>
        <w:ind w:left="6" w:right="40"/>
        <w:spacing w:after="0" w:line="215" w:lineRule="auto"/>
        <w:rPr>
          <w:sz w:val="20"/>
          <w:szCs w:val="20"/>
          <w:color w:val="auto"/>
        </w:rPr>
      </w:pPr>
      <w:r>
        <w:rPr>
          <w:rFonts w:ascii="Times New Roman" w:cs="Times New Roman" w:eastAsia="Times New Roman" w:hAnsi="Times New Roman"/>
          <w:sz w:val="19"/>
          <w:szCs w:val="19"/>
          <w:color w:val="auto"/>
        </w:rPr>
        <w:t>the Shares are issued to the Holder. After Shares are issued to the Holder, the Holder will be a stockholder and have all the rights of a stockholder with respect to such Shares, including the right to vote and receive all dividends</w:t>
      </w:r>
    </w:p>
    <w:p>
      <w:pPr>
        <w:ind w:left="6"/>
        <w:spacing w:after="0" w:line="211" w:lineRule="auto"/>
        <w:rPr>
          <w:sz w:val="20"/>
          <w:szCs w:val="20"/>
          <w:color w:val="auto"/>
        </w:rPr>
      </w:pPr>
      <w:r>
        <w:rPr>
          <w:rFonts w:ascii="Times New Roman" w:cs="Times New Roman" w:eastAsia="Times New Roman" w:hAnsi="Times New Roman"/>
          <w:sz w:val="20"/>
          <w:szCs w:val="20"/>
          <w:color w:val="auto"/>
        </w:rPr>
        <w:t xml:space="preserve">or other distributions made or paid with respect to such Shares;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if such Shares are Restricted Stock,</w:t>
      </w:r>
    </w:p>
    <w:p>
      <w:pPr>
        <w:ind w:left="6" w:right="440"/>
        <w:spacing w:after="0" w:line="215" w:lineRule="auto"/>
        <w:rPr>
          <w:sz w:val="20"/>
          <w:szCs w:val="20"/>
          <w:color w:val="auto"/>
        </w:rPr>
      </w:pPr>
      <w:r>
        <w:rPr>
          <w:rFonts w:ascii="Times New Roman" w:cs="Times New Roman" w:eastAsia="Times New Roman" w:hAnsi="Times New Roman"/>
          <w:sz w:val="19"/>
          <w:szCs w:val="19"/>
          <w:color w:val="auto"/>
        </w:rPr>
        <w:t>then any new, additional or different securities the Holder may become entitled to receive with respect to such Shares by virtue of a stock dividend, stock split or any other change in the corporate or capital structure of the</w:t>
      </w:r>
    </w:p>
    <w:p>
      <w:pPr>
        <w:ind w:left="6"/>
        <w:spacing w:after="0" w:line="211" w:lineRule="auto"/>
        <w:rPr>
          <w:sz w:val="20"/>
          <w:szCs w:val="20"/>
          <w:color w:val="auto"/>
        </w:rPr>
      </w:pPr>
      <w:r>
        <w:rPr>
          <w:rFonts w:ascii="Times New Roman" w:cs="Times New Roman" w:eastAsia="Times New Roman" w:hAnsi="Times New Roman"/>
          <w:sz w:val="20"/>
          <w:szCs w:val="20"/>
          <w:color w:val="auto"/>
        </w:rPr>
        <w:t xml:space="preserve">Company will be subject to the same restrictions as the Restricted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Holder will</w:t>
      </w:r>
    </w:p>
    <w:p>
      <w:pPr>
        <w:ind w:left="6"/>
        <w:spacing w:after="0" w:line="221" w:lineRule="auto"/>
        <w:rPr>
          <w:sz w:val="20"/>
          <w:szCs w:val="20"/>
          <w:color w:val="auto"/>
        </w:rPr>
      </w:pPr>
      <w:r>
        <w:rPr>
          <w:rFonts w:ascii="Times New Roman" w:cs="Times New Roman" w:eastAsia="Times New Roman" w:hAnsi="Times New Roman"/>
          <w:sz w:val="20"/>
          <w:szCs w:val="20"/>
          <w:color w:val="auto"/>
        </w:rPr>
        <w:t>have no right to retain such stock dividends or stock distributions with respect to Shares that are repurchased by the Company pursuant to this Plan or the Award Agreement.</w:t>
      </w:r>
    </w:p>
    <w:p>
      <w:pPr>
        <w:spacing w:after="0" w:line="157" w:lineRule="exact"/>
        <w:rPr>
          <w:sz w:val="20"/>
          <w:szCs w:val="20"/>
          <w:color w:val="auto"/>
        </w:rPr>
      </w:pPr>
    </w:p>
    <w:p>
      <w:pPr>
        <w:ind w:left="646"/>
        <w:spacing w:after="0"/>
        <w:tabs>
          <w:tab w:leader="none" w:pos="1406" w:val="left"/>
        </w:tabs>
        <w:rPr>
          <w:sz w:val="20"/>
          <w:szCs w:val="20"/>
          <w:color w:val="auto"/>
        </w:rPr>
      </w:pPr>
      <w:r>
        <w:rPr>
          <w:rFonts w:ascii="Times New Roman" w:cs="Times New Roman" w:eastAsia="Times New Roman" w:hAnsi="Times New Roman"/>
          <w:sz w:val="22"/>
          <w:szCs w:val="22"/>
          <w:color w:val="auto"/>
        </w:rPr>
        <w:t>12.5</w:t>
      </w:r>
      <w:r>
        <w:rPr>
          <w:sz w:val="20"/>
          <w:szCs w:val="20"/>
          <w:color w:val="auto"/>
        </w:rPr>
        <w:tab/>
      </w:r>
      <w:r>
        <w:rPr>
          <w:rFonts w:ascii="Times New Roman" w:cs="Times New Roman" w:eastAsia="Times New Roman" w:hAnsi="Times New Roman"/>
          <w:sz w:val="19"/>
          <w:szCs w:val="19"/>
          <w:u w:val="single" w:color="auto"/>
          <w:color w:val="auto"/>
        </w:rPr>
        <w:t>Paperless Administration.</w:t>
      </w:r>
    </w:p>
    <w:p>
      <w:pPr>
        <w:spacing w:after="0" w:line="400"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292735</wp:posOffset>
            </wp:positionV>
            <wp:extent cx="5871845" cy="508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46"/>
          </w:cols>
          <w:pgMar w:left="1354" w:top="441" w:right="1399" w:bottom="1440" w:gutter="0" w:footer="0" w:header="0"/>
        </w:sectPr>
      </w:pPr>
    </w:p>
    <w:bookmarkStart w:id="34" w:name="page35"/>
    <w:bookmarkEnd w:id="34"/>
    <w:p>
      <w:pPr>
        <w:ind w:right="420" w:firstLine="648"/>
        <w:spacing w:after="0" w:line="234" w:lineRule="auto"/>
        <w:rPr>
          <w:sz w:val="20"/>
          <w:szCs w:val="20"/>
          <w:color w:val="auto"/>
        </w:rPr>
      </w:pPr>
      <w:r>
        <w:rPr>
          <w:rFonts w:ascii="Times New Roman" w:cs="Times New Roman" w:eastAsia="Times New Roman" w:hAnsi="Times New Roman"/>
          <w:sz w:val="19"/>
          <w:szCs w:val="19"/>
          <w:color w:val="auto"/>
        </w:rPr>
        <w:t>In the event that the Company establishes, for itself or using the services of a third party, an automated system for the documentation, granting or exercise of Awards, such as a system using an internet website or</w:t>
      </w:r>
    </w:p>
    <w:p>
      <w:pPr>
        <w:spacing w:after="0" w:line="1" w:lineRule="exact"/>
        <w:rPr>
          <w:sz w:val="20"/>
          <w:szCs w:val="20"/>
          <w:color w:val="auto"/>
        </w:rPr>
      </w:pPr>
    </w:p>
    <w:p>
      <w:pPr>
        <w:ind w:right="240"/>
        <w:spacing w:after="0" w:line="221" w:lineRule="auto"/>
        <w:rPr>
          <w:sz w:val="20"/>
          <w:szCs w:val="20"/>
          <w:color w:val="auto"/>
        </w:rPr>
      </w:pPr>
      <w:r>
        <w:rPr>
          <w:rFonts w:ascii="Times New Roman" w:cs="Times New Roman" w:eastAsia="Times New Roman" w:hAnsi="Times New Roman"/>
          <w:sz w:val="20"/>
          <w:szCs w:val="20"/>
          <w:color w:val="auto"/>
        </w:rPr>
        <w:t>interactive voice response, then the paperless documentation, granting or exercise of Awards by a Holder may be permitted through the use of such an automated system.</w:t>
      </w:r>
    </w:p>
    <w:p>
      <w:pPr>
        <w:spacing w:after="0" w:line="157"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12.6</w:t>
      </w:r>
      <w:r>
        <w:rPr>
          <w:sz w:val="20"/>
          <w:szCs w:val="20"/>
          <w:color w:val="auto"/>
        </w:rPr>
        <w:tab/>
      </w:r>
      <w:r>
        <w:rPr>
          <w:rFonts w:ascii="Times New Roman" w:cs="Times New Roman" w:eastAsia="Times New Roman" w:hAnsi="Times New Roman"/>
          <w:sz w:val="19"/>
          <w:szCs w:val="19"/>
          <w:u w:val="single" w:color="auto"/>
          <w:color w:val="auto"/>
        </w:rPr>
        <w:t>Effect of Plan upon Other Compensation Plans.</w:t>
      </w:r>
    </w:p>
    <w:p>
      <w:pPr>
        <w:spacing w:after="0" w:line="17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adoption of the Plan shall not affect any other compensation or incentive plans in effect for the</w:t>
      </w:r>
    </w:p>
    <w:p>
      <w:pPr>
        <w:ind w:right="100"/>
        <w:spacing w:after="0" w:line="215" w:lineRule="auto"/>
        <w:rPr>
          <w:sz w:val="20"/>
          <w:szCs w:val="20"/>
          <w:color w:val="auto"/>
        </w:rPr>
      </w:pPr>
      <w:r>
        <w:rPr>
          <w:rFonts w:ascii="Times New Roman" w:cs="Times New Roman" w:eastAsia="Times New Roman" w:hAnsi="Times New Roman"/>
          <w:sz w:val="19"/>
          <w:szCs w:val="19"/>
          <w:color w:val="auto"/>
        </w:rPr>
        <w:t>Company or any Subsidiary. Nothing in the Plan shall be construed to limit the right of the Company or any Subsidiary: (a) to establish any other forms of incentives or compensation for Employees, Directors or Consultants</w:t>
      </w:r>
    </w:p>
    <w:p>
      <w:pPr>
        <w:spacing w:after="0" w:line="211" w:lineRule="auto"/>
        <w:rPr>
          <w:sz w:val="20"/>
          <w:szCs w:val="20"/>
          <w:color w:val="auto"/>
        </w:rPr>
      </w:pPr>
      <w:r>
        <w:rPr>
          <w:rFonts w:ascii="Times New Roman" w:cs="Times New Roman" w:eastAsia="Times New Roman" w:hAnsi="Times New Roman"/>
          <w:sz w:val="20"/>
          <w:szCs w:val="20"/>
          <w:color w:val="auto"/>
        </w:rPr>
        <w:t>of the Company or any Subsidiary, or (b) except as otherwise provided herein, to grant or assume options or other</w:t>
      </w:r>
    </w:p>
    <w:p>
      <w:pPr>
        <w:ind w:right="160"/>
        <w:spacing w:after="0" w:line="215" w:lineRule="auto"/>
        <w:rPr>
          <w:sz w:val="20"/>
          <w:szCs w:val="20"/>
          <w:color w:val="auto"/>
        </w:rPr>
      </w:pPr>
      <w:r>
        <w:rPr>
          <w:rFonts w:ascii="Times New Roman" w:cs="Times New Roman" w:eastAsia="Times New Roman" w:hAnsi="Times New Roman"/>
          <w:sz w:val="19"/>
          <w:szCs w:val="19"/>
          <w:color w:val="auto"/>
        </w:rPr>
        <w:t>rights or awards otherwise than under the Plan in connection with any proper corporate purpose including without limitation, the grant or assumption of options in connection with the acquisition by purchase, lease, merger,</w:t>
      </w:r>
    </w:p>
    <w:p>
      <w:pPr>
        <w:ind w:right="740"/>
        <w:spacing w:after="0" w:line="228" w:lineRule="auto"/>
        <w:rPr>
          <w:sz w:val="20"/>
          <w:szCs w:val="20"/>
          <w:color w:val="auto"/>
        </w:rPr>
      </w:pPr>
      <w:r>
        <w:rPr>
          <w:rFonts w:ascii="Times New Roman" w:cs="Times New Roman" w:eastAsia="Times New Roman" w:hAnsi="Times New Roman"/>
          <w:sz w:val="20"/>
          <w:szCs w:val="20"/>
          <w:color w:val="auto"/>
        </w:rPr>
        <w:t>consolidation or otherwise, of the business, stock or assets of any corporation, partnership, limited liability company, firm or association.</w:t>
      </w:r>
    </w:p>
    <w:p>
      <w:pPr>
        <w:spacing w:after="0" w:line="144"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12.7</w:t>
      </w:r>
      <w:r>
        <w:rPr>
          <w:sz w:val="20"/>
          <w:szCs w:val="20"/>
          <w:color w:val="auto"/>
        </w:rPr>
        <w:tab/>
      </w:r>
      <w:r>
        <w:rPr>
          <w:rFonts w:ascii="Times New Roman" w:cs="Times New Roman" w:eastAsia="Times New Roman" w:hAnsi="Times New Roman"/>
          <w:sz w:val="19"/>
          <w:szCs w:val="19"/>
          <w:u w:val="single" w:color="auto"/>
          <w:color w:val="auto"/>
        </w:rPr>
        <w:t>Compliance with Laws.</w:t>
      </w:r>
    </w:p>
    <w:p>
      <w:pPr>
        <w:spacing w:after="0" w:line="184" w:lineRule="exact"/>
        <w:rPr>
          <w:sz w:val="20"/>
          <w:szCs w:val="20"/>
          <w:color w:val="auto"/>
        </w:rPr>
      </w:pPr>
    </w:p>
    <w:p>
      <w:pPr>
        <w:ind w:right="220" w:firstLine="697"/>
        <w:spacing w:after="0" w:line="234" w:lineRule="auto"/>
        <w:rPr>
          <w:sz w:val="20"/>
          <w:szCs w:val="20"/>
          <w:color w:val="auto"/>
        </w:rPr>
      </w:pPr>
      <w:r>
        <w:rPr>
          <w:rFonts w:ascii="Times New Roman" w:cs="Times New Roman" w:eastAsia="Times New Roman" w:hAnsi="Times New Roman"/>
          <w:sz w:val="19"/>
          <w:szCs w:val="19"/>
          <w:color w:val="auto"/>
        </w:rPr>
        <w:t>The Plan, the granting and vesting of Awards under the Plan and the issuance and delivery of Shares and the payment of money under the Plan or under Awards granted or awarded hereunder are subject to compliance</w:t>
      </w:r>
    </w:p>
    <w:p>
      <w:pPr>
        <w:spacing w:after="0" w:line="1" w:lineRule="exact"/>
        <w:rPr>
          <w:sz w:val="20"/>
          <w:szCs w:val="20"/>
          <w:color w:val="auto"/>
        </w:rPr>
      </w:pPr>
    </w:p>
    <w:p>
      <w:pPr>
        <w:ind w:right="100"/>
        <w:spacing w:after="0" w:line="215" w:lineRule="auto"/>
        <w:rPr>
          <w:sz w:val="20"/>
          <w:szCs w:val="20"/>
          <w:color w:val="auto"/>
        </w:rPr>
      </w:pPr>
      <w:r>
        <w:rPr>
          <w:rFonts w:ascii="Times New Roman" w:cs="Times New Roman" w:eastAsia="Times New Roman" w:hAnsi="Times New Roman"/>
          <w:sz w:val="19"/>
          <w:szCs w:val="19"/>
          <w:color w:val="auto"/>
        </w:rPr>
        <w:t>with all Applicable Laws (including but not limited to margin requirements), and to such approvals by any listing, regulatory or governmental authority as may, in the opinion of counsel for the Company, be necessary or advisable</w:t>
      </w:r>
    </w:p>
    <w:p>
      <w:pPr>
        <w:ind w:right="60"/>
        <w:spacing w:after="0" w:line="215" w:lineRule="auto"/>
        <w:rPr>
          <w:sz w:val="20"/>
          <w:szCs w:val="20"/>
          <w:color w:val="auto"/>
        </w:rPr>
      </w:pPr>
      <w:r>
        <w:rPr>
          <w:rFonts w:ascii="Times New Roman" w:cs="Times New Roman" w:eastAsia="Times New Roman" w:hAnsi="Times New Roman"/>
          <w:sz w:val="19"/>
          <w:szCs w:val="19"/>
          <w:color w:val="auto"/>
        </w:rPr>
        <w:t>in connection therewith. Any securities delivered under the Plan shall be subject to such restrictions, and the person acquiring such securities shall, if requested by the Company, provide such assurances and representations to</w:t>
      </w:r>
    </w:p>
    <w:p>
      <w:pPr>
        <w:spacing w:after="0" w:line="222" w:lineRule="auto"/>
        <w:rPr>
          <w:sz w:val="20"/>
          <w:szCs w:val="20"/>
          <w:color w:val="auto"/>
        </w:rPr>
      </w:pPr>
      <w:r>
        <w:rPr>
          <w:rFonts w:ascii="Times New Roman" w:cs="Times New Roman" w:eastAsia="Times New Roman" w:hAnsi="Times New Roman"/>
          <w:sz w:val="19"/>
          <w:szCs w:val="19"/>
          <w:color w:val="auto"/>
        </w:rPr>
        <w:t>the Company as the Company may deem necessary or desirable to assure compliance with all Applicable Laws. To</w:t>
      </w:r>
    </w:p>
    <w:p>
      <w:pPr>
        <w:ind w:right="500"/>
        <w:spacing w:after="0" w:line="221" w:lineRule="auto"/>
        <w:rPr>
          <w:sz w:val="20"/>
          <w:szCs w:val="20"/>
          <w:color w:val="auto"/>
        </w:rPr>
      </w:pPr>
      <w:r>
        <w:rPr>
          <w:rFonts w:ascii="Times New Roman" w:cs="Times New Roman" w:eastAsia="Times New Roman" w:hAnsi="Times New Roman"/>
          <w:sz w:val="20"/>
          <w:szCs w:val="20"/>
          <w:color w:val="auto"/>
        </w:rPr>
        <w:t>the extent permitted by Applicable Laws, the Plan and Awards granted or awarded hereunder shall be deemed amended to the extent necessary to conform to Applicable Laws.</w:t>
      </w:r>
    </w:p>
    <w:p>
      <w:pPr>
        <w:spacing w:after="0" w:line="147"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12.8</w:t>
      </w:r>
      <w:r>
        <w:rPr>
          <w:sz w:val="20"/>
          <w:szCs w:val="20"/>
          <w:color w:val="auto"/>
        </w:rPr>
        <w:tab/>
      </w:r>
      <w:r>
        <w:rPr>
          <w:rFonts w:ascii="Times New Roman" w:cs="Times New Roman" w:eastAsia="Times New Roman" w:hAnsi="Times New Roman"/>
          <w:sz w:val="19"/>
          <w:szCs w:val="19"/>
          <w:u w:val="single" w:color="auto"/>
          <w:color w:val="auto"/>
        </w:rPr>
        <w:t>Titles and Headings, References to Sections of the Code, Exchange Act or Securities</w:t>
      </w:r>
    </w:p>
    <w:p>
      <w:pPr>
        <w:spacing w:after="0"/>
        <w:rPr>
          <w:sz w:val="20"/>
          <w:szCs w:val="20"/>
          <w:color w:val="auto"/>
        </w:rPr>
      </w:pPr>
      <w:r>
        <w:rPr>
          <w:rFonts w:ascii="Times New Roman" w:cs="Times New Roman" w:eastAsia="Times New Roman" w:hAnsi="Times New Roman"/>
          <w:sz w:val="20"/>
          <w:szCs w:val="20"/>
          <w:u w:val="single" w:color="auto"/>
          <w:color w:val="auto"/>
        </w:rPr>
        <w:t>Act.</w:t>
      </w:r>
    </w:p>
    <w:p>
      <w:pPr>
        <w:spacing w:after="0" w:line="1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9"/>
          <w:szCs w:val="19"/>
          <w:color w:val="auto"/>
        </w:rPr>
        <w:t>The titles and headings of the Sections in the Plan are for convenience of reference only and, in the event of</w:t>
      </w:r>
    </w:p>
    <w:p>
      <w:pPr>
        <w:spacing w:after="0" w:line="6" w:lineRule="exact"/>
        <w:rPr>
          <w:sz w:val="20"/>
          <w:szCs w:val="20"/>
          <w:color w:val="auto"/>
        </w:rPr>
      </w:pPr>
    </w:p>
    <w:p>
      <w:pPr>
        <w:ind w:right="380"/>
        <w:spacing w:after="0" w:line="221" w:lineRule="auto"/>
        <w:rPr>
          <w:sz w:val="20"/>
          <w:szCs w:val="20"/>
          <w:color w:val="auto"/>
        </w:rPr>
      </w:pPr>
      <w:r>
        <w:rPr>
          <w:rFonts w:ascii="Times New Roman" w:cs="Times New Roman" w:eastAsia="Times New Roman" w:hAnsi="Times New Roman"/>
          <w:sz w:val="20"/>
          <w:szCs w:val="20"/>
          <w:color w:val="auto"/>
        </w:rPr>
        <w:t>any conflict, the text of the Plan, rather than such titles or headings, shall control. References to sections of the Code, the Exchange Act or Securities Act shall include any amendment or successor thereto.</w:t>
      </w:r>
    </w:p>
    <w:p>
      <w:pPr>
        <w:spacing w:after="0" w:line="157" w:lineRule="exact"/>
        <w:rPr>
          <w:sz w:val="20"/>
          <w:szCs w:val="20"/>
          <w:color w:val="auto"/>
        </w:rPr>
      </w:pPr>
    </w:p>
    <w:p>
      <w:pPr>
        <w:ind w:left="640"/>
        <w:spacing w:after="0"/>
        <w:tabs>
          <w:tab w:leader="none" w:pos="1400" w:val="left"/>
        </w:tabs>
        <w:rPr>
          <w:sz w:val="20"/>
          <w:szCs w:val="20"/>
          <w:color w:val="auto"/>
        </w:rPr>
      </w:pPr>
      <w:r>
        <w:rPr>
          <w:rFonts w:ascii="Times New Roman" w:cs="Times New Roman" w:eastAsia="Times New Roman" w:hAnsi="Times New Roman"/>
          <w:sz w:val="22"/>
          <w:szCs w:val="22"/>
          <w:color w:val="auto"/>
        </w:rPr>
        <w:t>12.9</w:t>
      </w:r>
      <w:r>
        <w:rPr>
          <w:sz w:val="20"/>
          <w:szCs w:val="20"/>
          <w:color w:val="auto"/>
        </w:rPr>
        <w:tab/>
      </w:r>
      <w:r>
        <w:rPr>
          <w:rFonts w:ascii="Times New Roman" w:cs="Times New Roman" w:eastAsia="Times New Roman" w:hAnsi="Times New Roman"/>
          <w:sz w:val="19"/>
          <w:szCs w:val="19"/>
          <w:u w:val="single" w:color="auto"/>
          <w:color w:val="auto"/>
        </w:rPr>
        <w:t>Governing Law.</w:t>
      </w:r>
    </w:p>
    <w:p>
      <w:pPr>
        <w:spacing w:after="0" w:line="184" w:lineRule="exact"/>
        <w:rPr>
          <w:sz w:val="20"/>
          <w:szCs w:val="20"/>
          <w:color w:val="auto"/>
        </w:rPr>
      </w:pPr>
    </w:p>
    <w:p>
      <w:pPr>
        <w:ind w:right="160" w:firstLine="648"/>
        <w:spacing w:after="0"/>
        <w:rPr>
          <w:sz w:val="20"/>
          <w:szCs w:val="20"/>
          <w:color w:val="auto"/>
        </w:rPr>
      </w:pPr>
      <w:r>
        <w:rPr>
          <w:rFonts w:ascii="Times New Roman" w:cs="Times New Roman" w:eastAsia="Times New Roman" w:hAnsi="Times New Roman"/>
          <w:sz w:val="20"/>
          <w:szCs w:val="20"/>
          <w:color w:val="auto"/>
        </w:rPr>
        <w:t>The Plan and any agreements hereunder shall be administered, interpreted and enforced under the internal laws of the State of Delaware without regard to conflicts of laws thereof or of any other jurisdiction.</w:t>
      </w:r>
    </w:p>
    <w:p>
      <w:pPr>
        <w:spacing w:after="0" w:line="143" w:lineRule="exact"/>
        <w:rPr>
          <w:sz w:val="20"/>
          <w:szCs w:val="20"/>
          <w:color w:val="auto"/>
        </w:rPr>
      </w:pPr>
    </w:p>
    <w:p>
      <w:pPr>
        <w:ind w:left="640"/>
        <w:spacing w:after="0"/>
        <w:tabs>
          <w:tab w:leader="none" w:pos="1420" w:val="left"/>
        </w:tabs>
        <w:rPr>
          <w:sz w:val="20"/>
          <w:szCs w:val="20"/>
          <w:color w:val="auto"/>
        </w:rPr>
      </w:pPr>
      <w:r>
        <w:rPr>
          <w:rFonts w:ascii="Times New Roman" w:cs="Times New Roman" w:eastAsia="Times New Roman" w:hAnsi="Times New Roman"/>
          <w:sz w:val="22"/>
          <w:szCs w:val="22"/>
          <w:color w:val="auto"/>
        </w:rPr>
        <w:t>12.10</w:t>
      </w:r>
      <w:r>
        <w:rPr>
          <w:sz w:val="20"/>
          <w:szCs w:val="20"/>
          <w:color w:val="auto"/>
        </w:rPr>
        <w:tab/>
      </w:r>
      <w:r>
        <w:rPr>
          <w:rFonts w:ascii="Times New Roman" w:cs="Times New Roman" w:eastAsia="Times New Roman" w:hAnsi="Times New Roman"/>
          <w:sz w:val="19"/>
          <w:szCs w:val="19"/>
          <w:u w:val="single" w:color="auto"/>
          <w:color w:val="auto"/>
        </w:rPr>
        <w:t>Securities Law and Other Regulatory Compliance.</w:t>
      </w:r>
    </w:p>
    <w:p>
      <w:pPr>
        <w:spacing w:after="0" w:line="184" w:lineRule="exact"/>
        <w:rPr>
          <w:sz w:val="20"/>
          <w:szCs w:val="20"/>
          <w:color w:val="auto"/>
        </w:rPr>
      </w:pPr>
    </w:p>
    <w:p>
      <w:pPr>
        <w:ind w:right="260" w:firstLine="697"/>
        <w:spacing w:after="0" w:line="222" w:lineRule="auto"/>
        <w:rPr>
          <w:sz w:val="20"/>
          <w:szCs w:val="20"/>
          <w:color w:val="auto"/>
        </w:rPr>
      </w:pPr>
      <w:r>
        <w:rPr>
          <w:rFonts w:ascii="Times New Roman" w:cs="Times New Roman" w:eastAsia="Times New Roman" w:hAnsi="Times New Roman"/>
          <w:sz w:val="20"/>
          <w:szCs w:val="20"/>
          <w:color w:val="auto"/>
        </w:rPr>
        <w:t>An Award will not be effective unless such Award is in compliance with all applicable federal, state and foreign securities laws, rules and regulations of any governmental body, and the requirements of any stock</w:t>
      </w:r>
    </w:p>
    <w:p>
      <w:pPr>
        <w:spacing w:after="0" w:line="2" w:lineRule="exact"/>
        <w:rPr>
          <w:sz w:val="20"/>
          <w:szCs w:val="20"/>
          <w:color w:val="auto"/>
        </w:rPr>
      </w:pPr>
    </w:p>
    <w:p>
      <w:pPr>
        <w:ind w:right="160"/>
        <w:spacing w:after="0" w:line="215" w:lineRule="auto"/>
        <w:rPr>
          <w:sz w:val="20"/>
          <w:szCs w:val="20"/>
          <w:color w:val="auto"/>
        </w:rPr>
      </w:pPr>
      <w:r>
        <w:rPr>
          <w:rFonts w:ascii="Times New Roman" w:cs="Times New Roman" w:eastAsia="Times New Roman" w:hAnsi="Times New Roman"/>
          <w:sz w:val="19"/>
          <w:szCs w:val="19"/>
          <w:color w:val="auto"/>
        </w:rPr>
        <w:t>exchange or automated quotation system upon which the Shares may then be listed or quoted, as they are in effect on the date of grant of the Award and also on the date of exercise or other issuance. Notwithstanding any other</w:t>
      </w:r>
    </w:p>
    <w:p>
      <w:pPr>
        <w:spacing w:after="0" w:line="211" w:lineRule="auto"/>
        <w:rPr>
          <w:sz w:val="20"/>
          <w:szCs w:val="20"/>
          <w:color w:val="auto"/>
        </w:rPr>
      </w:pPr>
      <w:r>
        <w:rPr>
          <w:rFonts w:ascii="Times New Roman" w:cs="Times New Roman" w:eastAsia="Times New Roman" w:hAnsi="Times New Roman"/>
          <w:sz w:val="20"/>
          <w:szCs w:val="20"/>
          <w:color w:val="auto"/>
        </w:rPr>
        <w:t>provision in this Plan, the Company will have no obligation to issue or deliver certificates for Shares under this</w:t>
      </w:r>
    </w:p>
    <w:p>
      <w:pPr>
        <w:ind w:right="80"/>
        <w:spacing w:after="0" w:line="215" w:lineRule="auto"/>
        <w:rPr>
          <w:sz w:val="20"/>
          <w:szCs w:val="20"/>
          <w:color w:val="auto"/>
        </w:rPr>
      </w:pPr>
      <w:r>
        <w:rPr>
          <w:rFonts w:ascii="Times New Roman" w:cs="Times New Roman" w:eastAsia="Times New Roman" w:hAnsi="Times New Roman"/>
          <w:sz w:val="19"/>
          <w:szCs w:val="19"/>
          <w:color w:val="auto"/>
        </w:rPr>
        <w:t>Plan prior to: (a) obtaining any approvals from governmental agencies that the Company determines are necessary or advisable; and/or (b) completion of any registration or other qualification of such Shares under any state, federal</w:t>
      </w:r>
    </w:p>
    <w:p>
      <w:pPr>
        <w:ind w:right="100"/>
        <w:spacing w:after="0" w:line="228" w:lineRule="auto"/>
        <w:rPr>
          <w:sz w:val="20"/>
          <w:szCs w:val="20"/>
          <w:color w:val="auto"/>
        </w:rPr>
      </w:pPr>
      <w:r>
        <w:rPr>
          <w:rFonts w:ascii="Times New Roman" w:cs="Times New Roman" w:eastAsia="Times New Roman" w:hAnsi="Times New Roman"/>
          <w:sz w:val="20"/>
          <w:szCs w:val="20"/>
          <w:color w:val="auto"/>
        </w:rPr>
        <w:t>or foreign law or ruling of any governmental body that the Company determines to be necessary or advisable. The Company will be under no obligation to register the Shares with the Securities and Exchange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301625</wp:posOffset>
            </wp:positionV>
            <wp:extent cx="5871845"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5871845" cy="51435"/>
                    </a:xfrm>
                    <a:prstGeom prst="rect">
                      <a:avLst/>
                    </a:prstGeom>
                    <a:noFill/>
                  </pic:spPr>
                </pic:pic>
              </a:graphicData>
            </a:graphic>
          </wp:anchor>
        </w:drawing>
      </w:r>
    </w:p>
    <w:p>
      <w:pPr>
        <w:sectPr>
          <w:pgSz w:w="11900" w:h="16838" w:orient="portrait"/>
          <w:cols w:equalWidth="0" w:num="1">
            <w:col w:w="9180"/>
          </w:cols>
          <w:pgMar w:left="1360" w:top="441" w:right="1359" w:bottom="1440" w:gutter="0" w:footer="0" w:header="0"/>
        </w:sectPr>
      </w:pPr>
    </w:p>
    <w:bookmarkStart w:id="35" w:name="page36"/>
    <w:bookmarkEnd w:id="35"/>
    <w:p>
      <w:pPr>
        <w:ind w:left="6" w:right="400"/>
        <w:spacing w:after="0" w:line="234" w:lineRule="auto"/>
        <w:rPr>
          <w:sz w:val="20"/>
          <w:szCs w:val="20"/>
          <w:color w:val="auto"/>
        </w:rPr>
      </w:pPr>
      <w:r>
        <w:rPr>
          <w:rFonts w:ascii="Times New Roman" w:cs="Times New Roman" w:eastAsia="Times New Roman" w:hAnsi="Times New Roman"/>
          <w:sz w:val="19"/>
          <w:szCs w:val="19"/>
          <w:color w:val="auto"/>
        </w:rPr>
        <w:t>Commission or to effect compliance with the registration, qualification or listing requirements of any state securities laws, stock exchange or automated quotation system, and the Company will have no liability for any</w:t>
      </w:r>
    </w:p>
    <w:p>
      <w:pPr>
        <w:spacing w:after="0" w:line="1" w:lineRule="exact"/>
        <w:rPr>
          <w:sz w:val="20"/>
          <w:szCs w:val="20"/>
          <w:color w:val="auto"/>
        </w:rPr>
      </w:pPr>
    </w:p>
    <w:p>
      <w:pPr>
        <w:ind w:left="6" w:right="160"/>
        <w:spacing w:after="0" w:line="215" w:lineRule="auto"/>
        <w:rPr>
          <w:sz w:val="20"/>
          <w:szCs w:val="20"/>
          <w:color w:val="auto"/>
        </w:rPr>
      </w:pPr>
      <w:r>
        <w:rPr>
          <w:rFonts w:ascii="Times New Roman" w:cs="Times New Roman" w:eastAsia="Times New Roman" w:hAnsi="Times New Roman"/>
          <w:sz w:val="19"/>
          <w:szCs w:val="19"/>
          <w:color w:val="auto"/>
        </w:rPr>
        <w:t>inability or failure to do so. As a condition to the grant of any Award, the Company may require the Holder to satisfy any qualifications that may be necessary or appropriate to evidence compliance with any applicable law or</w:t>
      </w:r>
    </w:p>
    <w:p>
      <w:pPr>
        <w:ind w:left="6"/>
        <w:spacing w:after="0"/>
        <w:rPr>
          <w:sz w:val="20"/>
          <w:szCs w:val="20"/>
          <w:color w:val="auto"/>
        </w:rPr>
      </w:pPr>
      <w:r>
        <w:rPr>
          <w:rFonts w:ascii="Times New Roman" w:cs="Times New Roman" w:eastAsia="Times New Roman" w:hAnsi="Times New Roman"/>
          <w:sz w:val="20"/>
          <w:szCs w:val="20"/>
          <w:color w:val="auto"/>
        </w:rPr>
        <w:t>regulation and to make any representation or warranty with respect thereto as may be requested by the Company.</w:t>
      </w:r>
    </w:p>
    <w:p>
      <w:pPr>
        <w:spacing w:after="0" w:line="162" w:lineRule="exact"/>
        <w:rPr>
          <w:sz w:val="20"/>
          <w:szCs w:val="20"/>
          <w:color w:val="auto"/>
        </w:rPr>
      </w:pPr>
    </w:p>
    <w:p>
      <w:pPr>
        <w:ind w:left="646"/>
        <w:spacing w:after="0"/>
        <w:tabs>
          <w:tab w:leader="none" w:pos="1446" w:val="left"/>
        </w:tabs>
        <w:rPr>
          <w:sz w:val="20"/>
          <w:szCs w:val="20"/>
          <w:color w:val="auto"/>
        </w:rPr>
      </w:pPr>
      <w:r>
        <w:rPr>
          <w:rFonts w:ascii="Times New Roman" w:cs="Times New Roman" w:eastAsia="Times New Roman" w:hAnsi="Times New Roman"/>
          <w:sz w:val="22"/>
          <w:szCs w:val="22"/>
          <w:color w:val="auto"/>
        </w:rPr>
        <w:t>12.11</w:t>
      </w:r>
      <w:r>
        <w:rPr>
          <w:sz w:val="20"/>
          <w:szCs w:val="20"/>
          <w:color w:val="auto"/>
        </w:rPr>
        <w:tab/>
      </w:r>
      <w:r>
        <w:rPr>
          <w:rFonts w:ascii="Times New Roman" w:cs="Times New Roman" w:eastAsia="Times New Roman" w:hAnsi="Times New Roman"/>
          <w:sz w:val="19"/>
          <w:szCs w:val="19"/>
          <w:u w:val="single" w:color="auto"/>
          <w:color w:val="auto"/>
        </w:rPr>
        <w:t>Section 409A.</w:t>
      </w:r>
    </w:p>
    <w:p>
      <w:pPr>
        <w:spacing w:after="0" w:line="165" w:lineRule="exact"/>
        <w:rPr>
          <w:sz w:val="20"/>
          <w:szCs w:val="20"/>
          <w:color w:val="auto"/>
        </w:rPr>
      </w:pPr>
    </w:p>
    <w:p>
      <w:pPr>
        <w:jc w:val="center"/>
        <w:ind w:right="34"/>
        <w:spacing w:after="0"/>
        <w:rPr>
          <w:sz w:val="20"/>
          <w:szCs w:val="20"/>
          <w:color w:val="auto"/>
        </w:rPr>
      </w:pPr>
      <w:r>
        <w:rPr>
          <w:rFonts w:ascii="Times New Roman" w:cs="Times New Roman" w:eastAsia="Times New Roman" w:hAnsi="Times New Roman"/>
          <w:sz w:val="20"/>
          <w:szCs w:val="20"/>
          <w:color w:val="auto"/>
        </w:rPr>
        <w:t>To the extent that the Administrator determines that any Award granted under the Plan is subject to</w:t>
      </w:r>
    </w:p>
    <w:p>
      <w:pPr>
        <w:jc w:val="center"/>
        <w:ind w:right="14"/>
        <w:spacing w:after="0" w:line="222" w:lineRule="auto"/>
        <w:rPr>
          <w:sz w:val="20"/>
          <w:szCs w:val="20"/>
          <w:color w:val="auto"/>
        </w:rPr>
      </w:pPr>
      <w:r>
        <w:rPr>
          <w:rFonts w:ascii="Times New Roman" w:cs="Times New Roman" w:eastAsia="Times New Roman" w:hAnsi="Times New Roman"/>
          <w:sz w:val="19"/>
          <w:szCs w:val="19"/>
          <w:color w:val="auto"/>
        </w:rPr>
        <w:t>Section 409A of the Code, the Award Agreement evidencing such Award shall incorporate the terms and conditions</w:t>
      </w:r>
    </w:p>
    <w:p>
      <w:pPr>
        <w:ind w:left="6"/>
        <w:spacing w:after="0" w:line="211" w:lineRule="auto"/>
        <w:rPr>
          <w:sz w:val="20"/>
          <w:szCs w:val="20"/>
          <w:color w:val="auto"/>
        </w:rPr>
      </w:pPr>
      <w:r>
        <w:rPr>
          <w:rFonts w:ascii="Times New Roman" w:cs="Times New Roman" w:eastAsia="Times New Roman" w:hAnsi="Times New Roman"/>
          <w:sz w:val="20"/>
          <w:szCs w:val="20"/>
          <w:color w:val="auto"/>
        </w:rPr>
        <w:t>required by Section 409A of the Code. To the extent applicable, the Plan and any Award Agreements shall be</w:t>
      </w:r>
    </w:p>
    <w:p>
      <w:pPr>
        <w:spacing w:after="0" w:line="1" w:lineRule="exact"/>
        <w:rPr>
          <w:sz w:val="20"/>
          <w:szCs w:val="20"/>
          <w:color w:val="auto"/>
        </w:rPr>
      </w:pPr>
    </w:p>
    <w:p>
      <w:pPr>
        <w:ind w:left="6" w:right="280"/>
        <w:spacing w:after="0" w:line="215" w:lineRule="auto"/>
        <w:rPr>
          <w:sz w:val="20"/>
          <w:szCs w:val="20"/>
          <w:color w:val="auto"/>
        </w:rPr>
      </w:pPr>
      <w:r>
        <w:rPr>
          <w:rFonts w:ascii="Times New Roman" w:cs="Times New Roman" w:eastAsia="Times New Roman" w:hAnsi="Times New Roman"/>
          <w:sz w:val="19"/>
          <w:szCs w:val="19"/>
          <w:color w:val="auto"/>
        </w:rPr>
        <w:t>interpreted in accordance with Section 409A of the Code and Department of Treasury regulations and other interpretive guidance issued thereunder, including without limitation any such regulations or other guidance that</w:t>
      </w:r>
    </w:p>
    <w:p>
      <w:pPr>
        <w:ind w:left="6"/>
        <w:spacing w:after="0" w:line="211" w:lineRule="auto"/>
        <w:rPr>
          <w:sz w:val="20"/>
          <w:szCs w:val="20"/>
          <w:color w:val="auto"/>
        </w:rPr>
      </w:pPr>
      <w:r>
        <w:rPr>
          <w:rFonts w:ascii="Times New Roman" w:cs="Times New Roman" w:eastAsia="Times New Roman" w:hAnsi="Times New Roman"/>
          <w:sz w:val="20"/>
          <w:szCs w:val="20"/>
          <w:color w:val="auto"/>
        </w:rPr>
        <w:t>may be issued after the Effective Date. Notwithstanding any provision of the Plan to the contrary, in the event that</w:t>
      </w:r>
    </w:p>
    <w:p>
      <w:pPr>
        <w:ind w:left="6" w:right="220"/>
        <w:spacing w:after="0" w:line="215" w:lineRule="auto"/>
        <w:rPr>
          <w:sz w:val="20"/>
          <w:szCs w:val="20"/>
          <w:color w:val="auto"/>
        </w:rPr>
      </w:pPr>
      <w:r>
        <w:rPr>
          <w:rFonts w:ascii="Times New Roman" w:cs="Times New Roman" w:eastAsia="Times New Roman" w:hAnsi="Times New Roman"/>
          <w:sz w:val="19"/>
          <w:szCs w:val="19"/>
          <w:color w:val="auto"/>
        </w:rPr>
        <w:t>following the Effective Date the Administrator determines that any Award may be subject to Section 409A of the Code and related Department of Treasury guidance (including such Department of Treasury guidance as may be</w:t>
      </w:r>
    </w:p>
    <w:p>
      <w:pPr>
        <w:ind w:left="6"/>
        <w:spacing w:after="0" w:line="211" w:lineRule="auto"/>
        <w:rPr>
          <w:sz w:val="20"/>
          <w:szCs w:val="20"/>
          <w:color w:val="auto"/>
        </w:rPr>
      </w:pPr>
      <w:r>
        <w:rPr>
          <w:rFonts w:ascii="Times New Roman" w:cs="Times New Roman" w:eastAsia="Times New Roman" w:hAnsi="Times New Roman"/>
          <w:sz w:val="20"/>
          <w:szCs w:val="20"/>
          <w:color w:val="auto"/>
        </w:rPr>
        <w:t>issued after the Effective Date), the Administrator may adopt such amendments to the Plan and the applicable</w:t>
      </w:r>
    </w:p>
    <w:p>
      <w:pPr>
        <w:ind w:left="6" w:right="360"/>
        <w:spacing w:after="0" w:line="215" w:lineRule="auto"/>
        <w:rPr>
          <w:sz w:val="20"/>
          <w:szCs w:val="20"/>
          <w:color w:val="auto"/>
        </w:rPr>
      </w:pPr>
      <w:r>
        <w:rPr>
          <w:rFonts w:ascii="Times New Roman" w:cs="Times New Roman" w:eastAsia="Times New Roman" w:hAnsi="Times New Roman"/>
          <w:sz w:val="19"/>
          <w:szCs w:val="19"/>
          <w:color w:val="auto"/>
        </w:rPr>
        <w:t>Award Agreement or adopt other policies and procedures (including amendments, policies and procedures with retroactive effect), or take any other actions, that the Administrator determines are necessary or appropriate to</w:t>
      </w:r>
    </w:p>
    <w:p>
      <w:pPr>
        <w:ind w:left="6" w:right="180" w:hanging="6"/>
        <w:spacing w:after="0" w:line="216" w:lineRule="auto"/>
        <w:tabs>
          <w:tab w:leader="none" w:pos="275"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exempt the Award from Section 409A of the Code and/or preserve the intended tax treatment of the benefits provided with respect to the Award, or (b) comply with the requirements of Section 409A of the Code and related Department of Treasury guidance and thereby avoid the application of any penalty taxes under such Section. Further:</w:t>
      </w:r>
    </w:p>
    <w:p>
      <w:pPr>
        <w:spacing w:after="0" w:line="162" w:lineRule="exact"/>
        <w:rPr>
          <w:rFonts w:ascii="Times New Roman" w:cs="Times New Roman" w:eastAsia="Times New Roman" w:hAnsi="Times New Roman"/>
          <w:sz w:val="20"/>
          <w:szCs w:val="20"/>
          <w:color w:val="auto"/>
        </w:rPr>
      </w:pPr>
    </w:p>
    <w:p>
      <w:pPr>
        <w:ind w:left="6" w:right="80" w:firstLine="1290"/>
        <w:spacing w:after="0" w:line="215" w:lineRule="auto"/>
        <w:tabs>
          <w:tab w:leader="none" w:pos="2023"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Termination of Service shall not be deemed to have occurred for purposes of any provision of this Plan providing for the payment of any amounts following a Termination of Service that constitute “nonqualified deferred compensation” within the meaning of Section 409A of the Code and the final regulations issued thereunder unless or until such termination also constitutes a “separation from service” within the meaning of Section 409A of the Code and the final regulations issued thereunder.</w:t>
      </w:r>
    </w:p>
    <w:p>
      <w:pPr>
        <w:spacing w:after="0" w:line="177" w:lineRule="exact"/>
        <w:rPr>
          <w:rFonts w:ascii="Times New Roman" w:cs="Times New Roman" w:eastAsia="Times New Roman" w:hAnsi="Times New Roman"/>
          <w:sz w:val="22"/>
          <w:szCs w:val="22"/>
          <w:color w:val="auto"/>
        </w:rPr>
      </w:pPr>
    </w:p>
    <w:p>
      <w:pPr>
        <w:ind w:left="6" w:firstLine="1290"/>
        <w:spacing w:after="0" w:line="223" w:lineRule="auto"/>
        <w:tabs>
          <w:tab w:leader="none" w:pos="2035" w:val="left"/>
        </w:tabs>
        <w:numPr>
          <w:ilvl w:val="1"/>
          <w:numId w:val="39"/>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If any payment to a Holder in connection with his or her Termination of Service is determined to constitute “nonqualified deferred compensation” within the meaning of Section 409A of the Code and the final regulations issued thereunder and the Holder is a “specified employee” as defined in Section 409A of the Code and the final regulations issued thereunder, no part of such payment shall be paid before the day that is six months plus one day after the Holder’s Termination of Service for reasons other than his or her death (the “New Payment Date”). The aggregate of any payments that otherwise would have been paid to the Holder during the period between the date of such Termination of Service and the New Payment Date shall be paid to the Holder in a single sum on the earlier of (i) such New Payment Date, or (ii) the Holder’s death. Thereafter, any payments that remain outstanding as of the day immediately following the New Payment Date shall be paid without delay over the time period originally scheduled, in accordance with the terms of this Plan and the Holder’s Award Agreement.</w:t>
      </w:r>
    </w:p>
    <w:p>
      <w:pPr>
        <w:spacing w:after="0" w:line="162" w:lineRule="exact"/>
        <w:rPr>
          <w:rFonts w:ascii="Times New Roman" w:cs="Times New Roman" w:eastAsia="Times New Roman" w:hAnsi="Times New Roman"/>
          <w:sz w:val="21"/>
          <w:szCs w:val="21"/>
          <w:color w:val="auto"/>
        </w:rPr>
      </w:pPr>
    </w:p>
    <w:p>
      <w:pPr>
        <w:ind w:left="6" w:right="40" w:firstLine="1290"/>
        <w:spacing w:after="0" w:line="220" w:lineRule="auto"/>
        <w:tabs>
          <w:tab w:leader="none" w:pos="2023"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Whenever a payment under an Award Agreement specifies a payment period with reference to a number of days (e.g., “payment shall be made within 30 days following the date of Termination of Service”), the actual date of payment within the specified period shall be within the sole discretion of the Company (except as otherwise set forth in Section 12.11(b)).</w:t>
      </w:r>
    </w:p>
    <w:p>
      <w:pPr>
        <w:spacing w:after="0" w:line="161" w:lineRule="exact"/>
        <w:rPr>
          <w:rFonts w:ascii="Times New Roman" w:cs="Times New Roman" w:eastAsia="Times New Roman" w:hAnsi="Times New Roman"/>
          <w:sz w:val="22"/>
          <w:szCs w:val="22"/>
          <w:color w:val="auto"/>
        </w:rPr>
      </w:pPr>
    </w:p>
    <w:p>
      <w:pPr>
        <w:jc w:val="both"/>
        <w:ind w:left="6" w:right="180" w:firstLine="1290"/>
        <w:spacing w:after="0" w:line="220" w:lineRule="auto"/>
        <w:tabs>
          <w:tab w:leader="none" w:pos="2035" w:val="left"/>
        </w:tabs>
        <w:numPr>
          <w:ilvl w:val="1"/>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Notwithstanding anything herein to the contrary, the Company shall have no liability to any Holder or to any other person if the payments and benefits provided under this Plan or pursuant to any Award Agreement that are intended to be exempt from or compliant with Section 409A of the Code are not so exempt or compliant.</w:t>
      </w:r>
    </w:p>
    <w:p>
      <w:pPr>
        <w:spacing w:after="0" w:line="364"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301625</wp:posOffset>
            </wp:positionV>
            <wp:extent cx="5871845" cy="508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6"/>
          </w:cols>
          <w:pgMar w:left="1354" w:top="441" w:right="1379" w:bottom="1440" w:gutter="0" w:footer="0" w:header="0"/>
        </w:sectPr>
      </w:pPr>
    </w:p>
    <w:bookmarkStart w:id="36" w:name="page37"/>
    <w:bookmarkEnd w:id="36"/>
    <w:p>
      <w:pPr>
        <w:ind w:left="640"/>
        <w:spacing w:after="0"/>
        <w:tabs>
          <w:tab w:leader="none" w:pos="1420" w:val="left"/>
        </w:tabs>
        <w:rPr>
          <w:sz w:val="20"/>
          <w:szCs w:val="20"/>
          <w:color w:val="auto"/>
        </w:rPr>
      </w:pPr>
      <w:r>
        <w:rPr>
          <w:rFonts w:ascii="Times New Roman" w:cs="Times New Roman" w:eastAsia="Times New Roman" w:hAnsi="Times New Roman"/>
          <w:sz w:val="22"/>
          <w:szCs w:val="22"/>
          <w:color w:val="auto"/>
        </w:rPr>
        <w:t>12.12</w:t>
      </w:r>
      <w:r>
        <w:rPr>
          <w:sz w:val="20"/>
          <w:szCs w:val="20"/>
          <w:color w:val="auto"/>
        </w:rPr>
        <w:tab/>
      </w:r>
      <w:r>
        <w:rPr>
          <w:rFonts w:ascii="Times New Roman" w:cs="Times New Roman" w:eastAsia="Times New Roman" w:hAnsi="Times New Roman"/>
          <w:sz w:val="19"/>
          <w:szCs w:val="19"/>
          <w:u w:val="single" w:color="auto"/>
          <w:color w:val="auto"/>
        </w:rPr>
        <w:t>No Rights to Awards.</w:t>
      </w:r>
    </w:p>
    <w:p>
      <w:pPr>
        <w:spacing w:after="0" w:line="184" w:lineRule="exact"/>
        <w:rPr>
          <w:sz w:val="20"/>
          <w:szCs w:val="20"/>
          <w:color w:val="auto"/>
        </w:rPr>
      </w:pPr>
    </w:p>
    <w:p>
      <w:pPr>
        <w:ind w:right="160" w:firstLine="648"/>
        <w:spacing w:after="0" w:line="230" w:lineRule="auto"/>
        <w:rPr>
          <w:sz w:val="20"/>
          <w:szCs w:val="20"/>
          <w:color w:val="auto"/>
        </w:rPr>
      </w:pPr>
      <w:r>
        <w:rPr>
          <w:rFonts w:ascii="Times New Roman" w:cs="Times New Roman" w:eastAsia="Times New Roman" w:hAnsi="Times New Roman"/>
          <w:sz w:val="20"/>
          <w:szCs w:val="20"/>
          <w:color w:val="auto"/>
        </w:rPr>
        <w:t>No Eligible Individual or other person shall have any claim to be granted any Award pursuant to the Plan, and neither the Company nor the Administrator is obligated to treat Eligible Individuals, Holders or any other persons uniformly.</w:t>
      </w:r>
    </w:p>
    <w:p>
      <w:pPr>
        <w:spacing w:after="0" w:line="144" w:lineRule="exact"/>
        <w:rPr>
          <w:sz w:val="20"/>
          <w:szCs w:val="20"/>
          <w:color w:val="auto"/>
        </w:rPr>
      </w:pPr>
    </w:p>
    <w:p>
      <w:pPr>
        <w:ind w:left="640"/>
        <w:spacing w:after="0"/>
        <w:tabs>
          <w:tab w:leader="none" w:pos="1420" w:val="left"/>
        </w:tabs>
        <w:rPr>
          <w:sz w:val="20"/>
          <w:szCs w:val="20"/>
          <w:color w:val="auto"/>
        </w:rPr>
      </w:pPr>
      <w:r>
        <w:rPr>
          <w:rFonts w:ascii="Times New Roman" w:cs="Times New Roman" w:eastAsia="Times New Roman" w:hAnsi="Times New Roman"/>
          <w:sz w:val="22"/>
          <w:szCs w:val="22"/>
          <w:color w:val="auto"/>
        </w:rPr>
        <w:t>12.13</w:t>
      </w:r>
      <w:r>
        <w:rPr>
          <w:sz w:val="20"/>
          <w:szCs w:val="20"/>
          <w:color w:val="auto"/>
        </w:rPr>
        <w:tab/>
      </w:r>
      <w:r>
        <w:rPr>
          <w:rFonts w:ascii="Times New Roman" w:cs="Times New Roman" w:eastAsia="Times New Roman" w:hAnsi="Times New Roman"/>
          <w:sz w:val="19"/>
          <w:szCs w:val="19"/>
          <w:u w:val="single" w:color="auto"/>
          <w:color w:val="auto"/>
        </w:rPr>
        <w:t>Unfunded Status of Awards.</w:t>
      </w:r>
    </w:p>
    <w:p>
      <w:pPr>
        <w:spacing w:after="0" w:line="184" w:lineRule="exact"/>
        <w:rPr>
          <w:sz w:val="20"/>
          <w:szCs w:val="20"/>
          <w:color w:val="auto"/>
        </w:rPr>
      </w:pPr>
    </w:p>
    <w:p>
      <w:pPr>
        <w:jc w:val="both"/>
        <w:ind w:right="160" w:firstLine="648"/>
        <w:spacing w:after="0" w:line="244" w:lineRule="auto"/>
        <w:rPr>
          <w:sz w:val="20"/>
          <w:szCs w:val="20"/>
          <w:color w:val="auto"/>
        </w:rPr>
      </w:pPr>
      <w:r>
        <w:rPr>
          <w:rFonts w:ascii="Times New Roman" w:cs="Times New Roman" w:eastAsia="Times New Roman" w:hAnsi="Times New Roman"/>
          <w:sz w:val="19"/>
          <w:szCs w:val="19"/>
          <w:color w:val="auto"/>
        </w:rPr>
        <w:t>The Plan is intended to be an “unfunded” plan for incentive compensation. With respect to any payments not yet made to a Holder pursuant to an Award, nothing contained in the Plan or any Award Agreement shall give the Holder any rights that are greater than those of a general creditor of the Company or any Subsidiary.</w:t>
      </w:r>
    </w:p>
    <w:p>
      <w:pPr>
        <w:spacing w:after="0" w:line="139" w:lineRule="exact"/>
        <w:rPr>
          <w:sz w:val="20"/>
          <w:szCs w:val="20"/>
          <w:color w:val="auto"/>
        </w:rPr>
      </w:pPr>
    </w:p>
    <w:p>
      <w:pPr>
        <w:ind w:left="640"/>
        <w:spacing w:after="0"/>
        <w:tabs>
          <w:tab w:leader="none" w:pos="1420" w:val="left"/>
        </w:tabs>
        <w:rPr>
          <w:sz w:val="20"/>
          <w:szCs w:val="20"/>
          <w:color w:val="auto"/>
        </w:rPr>
      </w:pPr>
      <w:r>
        <w:rPr>
          <w:rFonts w:ascii="Times New Roman" w:cs="Times New Roman" w:eastAsia="Times New Roman" w:hAnsi="Times New Roman"/>
          <w:sz w:val="22"/>
          <w:szCs w:val="22"/>
          <w:color w:val="auto"/>
        </w:rPr>
        <w:t>12.14</w:t>
      </w:r>
      <w:r>
        <w:rPr>
          <w:sz w:val="20"/>
          <w:szCs w:val="20"/>
          <w:color w:val="auto"/>
        </w:rPr>
        <w:tab/>
      </w:r>
      <w:r>
        <w:rPr>
          <w:rFonts w:ascii="Times New Roman" w:cs="Times New Roman" w:eastAsia="Times New Roman" w:hAnsi="Times New Roman"/>
          <w:sz w:val="19"/>
          <w:szCs w:val="19"/>
          <w:u w:val="single" w:color="auto"/>
          <w:color w:val="auto"/>
        </w:rPr>
        <w:t>Indemnification.</w:t>
      </w:r>
    </w:p>
    <w:p>
      <w:pPr>
        <w:spacing w:after="0" w:line="184" w:lineRule="exact"/>
        <w:rPr>
          <w:sz w:val="20"/>
          <w:szCs w:val="20"/>
          <w:color w:val="auto"/>
        </w:rPr>
      </w:pPr>
    </w:p>
    <w:p>
      <w:pPr>
        <w:ind w:right="120" w:firstLine="697"/>
        <w:spacing w:after="0" w:line="234" w:lineRule="auto"/>
        <w:rPr>
          <w:sz w:val="20"/>
          <w:szCs w:val="20"/>
          <w:color w:val="auto"/>
        </w:rPr>
      </w:pPr>
      <w:r>
        <w:rPr>
          <w:rFonts w:ascii="Times New Roman" w:cs="Times New Roman" w:eastAsia="Times New Roman" w:hAnsi="Times New Roman"/>
          <w:sz w:val="19"/>
          <w:szCs w:val="19"/>
          <w:color w:val="auto"/>
        </w:rPr>
        <w:t>To the extent allowable pursuant to Applicable Law, each member of the Committee or of the Board shall be indemnified and held harmless by the Company from any loss, cost, liability, or expense that may be imposed</w:t>
      </w:r>
    </w:p>
    <w:p>
      <w:pPr>
        <w:spacing w:after="0" w:line="1" w:lineRule="exact"/>
        <w:rPr>
          <w:sz w:val="20"/>
          <w:szCs w:val="20"/>
          <w:color w:val="auto"/>
        </w:rPr>
      </w:pPr>
    </w:p>
    <w:p>
      <w:pPr>
        <w:ind w:right="380"/>
        <w:spacing w:after="0" w:line="215" w:lineRule="auto"/>
        <w:rPr>
          <w:sz w:val="20"/>
          <w:szCs w:val="20"/>
          <w:color w:val="auto"/>
        </w:rPr>
      </w:pPr>
      <w:r>
        <w:rPr>
          <w:rFonts w:ascii="Times New Roman" w:cs="Times New Roman" w:eastAsia="Times New Roman" w:hAnsi="Times New Roman"/>
          <w:sz w:val="19"/>
          <w:szCs w:val="19"/>
          <w:color w:val="auto"/>
        </w:rPr>
        <w:t>upon or reasonably incurred by such member in connection with or resulting from any claim, action, suit, or proceeding to which he or she may be a party or in which he or she may be involved by reason of any action or</w:t>
      </w:r>
    </w:p>
    <w:p>
      <w:pPr>
        <w:spacing w:after="0" w:line="211" w:lineRule="auto"/>
        <w:rPr>
          <w:sz w:val="20"/>
          <w:szCs w:val="20"/>
          <w:color w:val="auto"/>
        </w:rPr>
      </w:pPr>
      <w:r>
        <w:rPr>
          <w:rFonts w:ascii="Times New Roman" w:cs="Times New Roman" w:eastAsia="Times New Roman" w:hAnsi="Times New Roman"/>
          <w:sz w:val="20"/>
          <w:szCs w:val="20"/>
          <w:color w:val="auto"/>
        </w:rPr>
        <w:t>failure to act pursuant to the Plan and against and from any and all amounts paid by him or her in satisfaction of</w:t>
      </w:r>
    </w:p>
    <w:p>
      <w:pPr>
        <w:ind w:right="120"/>
        <w:spacing w:after="0" w:line="215" w:lineRule="auto"/>
        <w:rPr>
          <w:sz w:val="20"/>
          <w:szCs w:val="20"/>
          <w:color w:val="auto"/>
        </w:rPr>
      </w:pPr>
      <w:r>
        <w:rPr>
          <w:rFonts w:ascii="Times New Roman" w:cs="Times New Roman" w:eastAsia="Times New Roman" w:hAnsi="Times New Roman"/>
          <w:sz w:val="19"/>
          <w:szCs w:val="19"/>
          <w:color w:val="auto"/>
        </w:rPr>
        <w:t xml:space="preserve">judgment in such action, suit, or proceeding against him or her;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he or she gives the Company an opportunity, at its own expense, to handle and defend the same before he or she undertakes to handle and defend it</w:t>
      </w:r>
    </w:p>
    <w:p>
      <w:pPr>
        <w:spacing w:after="0" w:line="211" w:lineRule="auto"/>
        <w:rPr>
          <w:sz w:val="20"/>
          <w:szCs w:val="20"/>
          <w:color w:val="auto"/>
        </w:rPr>
      </w:pPr>
      <w:r>
        <w:rPr>
          <w:rFonts w:ascii="Times New Roman" w:cs="Times New Roman" w:eastAsia="Times New Roman" w:hAnsi="Times New Roman"/>
          <w:sz w:val="20"/>
          <w:szCs w:val="20"/>
          <w:color w:val="auto"/>
        </w:rPr>
        <w:t>on his or her own behalf. The foregoing right of indemnification shall not be exclusive of any other rights of</w:t>
      </w:r>
    </w:p>
    <w:p>
      <w:pPr>
        <w:ind w:right="20"/>
        <w:spacing w:after="0" w:line="215" w:lineRule="auto"/>
        <w:rPr>
          <w:sz w:val="20"/>
          <w:szCs w:val="20"/>
          <w:color w:val="auto"/>
        </w:rPr>
      </w:pPr>
      <w:r>
        <w:rPr>
          <w:rFonts w:ascii="Times New Roman" w:cs="Times New Roman" w:eastAsia="Times New Roman" w:hAnsi="Times New Roman"/>
          <w:sz w:val="19"/>
          <w:szCs w:val="19"/>
          <w:color w:val="auto"/>
        </w:rPr>
        <w:t>indemnification to which such persons may be entitled pursuant to the Company’s Certificate of Incorporation or Bylaws, as a matter of law, or otherwise, or any power that the Company may have to indemnify them or hold them</w:t>
      </w:r>
    </w:p>
    <w:p>
      <w:pPr>
        <w:spacing w:after="0"/>
        <w:rPr>
          <w:sz w:val="20"/>
          <w:szCs w:val="20"/>
          <w:color w:val="auto"/>
        </w:rPr>
      </w:pPr>
      <w:r>
        <w:rPr>
          <w:rFonts w:ascii="Times New Roman" w:cs="Times New Roman" w:eastAsia="Times New Roman" w:hAnsi="Times New Roman"/>
          <w:sz w:val="20"/>
          <w:szCs w:val="20"/>
          <w:color w:val="auto"/>
        </w:rPr>
        <w:t>harmless.</w:t>
      </w:r>
    </w:p>
    <w:p>
      <w:pPr>
        <w:spacing w:after="0" w:line="148" w:lineRule="exact"/>
        <w:rPr>
          <w:sz w:val="20"/>
          <w:szCs w:val="20"/>
          <w:color w:val="auto"/>
        </w:rPr>
      </w:pPr>
    </w:p>
    <w:p>
      <w:pPr>
        <w:ind w:left="640"/>
        <w:spacing w:after="0"/>
        <w:tabs>
          <w:tab w:leader="none" w:pos="1420" w:val="left"/>
        </w:tabs>
        <w:rPr>
          <w:sz w:val="20"/>
          <w:szCs w:val="20"/>
          <w:color w:val="auto"/>
        </w:rPr>
      </w:pPr>
      <w:r>
        <w:rPr>
          <w:rFonts w:ascii="Times New Roman" w:cs="Times New Roman" w:eastAsia="Times New Roman" w:hAnsi="Times New Roman"/>
          <w:sz w:val="22"/>
          <w:szCs w:val="22"/>
          <w:color w:val="auto"/>
        </w:rPr>
        <w:t>12.15</w:t>
      </w:r>
      <w:r>
        <w:rPr>
          <w:sz w:val="20"/>
          <w:szCs w:val="20"/>
          <w:color w:val="auto"/>
        </w:rPr>
        <w:tab/>
      </w:r>
      <w:r>
        <w:rPr>
          <w:rFonts w:ascii="Times New Roman" w:cs="Times New Roman" w:eastAsia="Times New Roman" w:hAnsi="Times New Roman"/>
          <w:sz w:val="19"/>
          <w:szCs w:val="19"/>
          <w:u w:val="single" w:color="auto"/>
          <w:color w:val="auto"/>
        </w:rPr>
        <w:t>Relationship to other Benefits.</w:t>
      </w:r>
    </w:p>
    <w:p>
      <w:pPr>
        <w:spacing w:after="0" w:line="18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9"/>
          <w:szCs w:val="19"/>
          <w:color w:val="auto"/>
        </w:rPr>
        <w:t>No payment pursuant to the Plan shall be taken into account in determining any benefits under any pension, retirement, savings, profit sharing, group insurance, welfare or other benefit plan of the Company or any Subsidiary except to the extent otherwise expressly provided in writing in such other plan or an agreement thereunder.</w:t>
      </w:r>
    </w:p>
    <w:p>
      <w:pPr>
        <w:spacing w:after="0" w:line="139" w:lineRule="exact"/>
        <w:rPr>
          <w:sz w:val="20"/>
          <w:szCs w:val="20"/>
          <w:color w:val="auto"/>
        </w:rPr>
      </w:pPr>
    </w:p>
    <w:p>
      <w:pPr>
        <w:ind w:left="640"/>
        <w:spacing w:after="0"/>
        <w:tabs>
          <w:tab w:leader="none" w:pos="1420" w:val="left"/>
        </w:tabs>
        <w:rPr>
          <w:sz w:val="20"/>
          <w:szCs w:val="20"/>
          <w:color w:val="auto"/>
        </w:rPr>
      </w:pPr>
      <w:r>
        <w:rPr>
          <w:rFonts w:ascii="Times New Roman" w:cs="Times New Roman" w:eastAsia="Times New Roman" w:hAnsi="Times New Roman"/>
          <w:sz w:val="22"/>
          <w:szCs w:val="22"/>
          <w:color w:val="auto"/>
        </w:rPr>
        <w:t>12.16</w:t>
      </w:r>
      <w:r>
        <w:rPr>
          <w:sz w:val="20"/>
          <w:szCs w:val="20"/>
          <w:color w:val="auto"/>
        </w:rPr>
        <w:tab/>
      </w:r>
      <w:r>
        <w:rPr>
          <w:rFonts w:ascii="Times New Roman" w:cs="Times New Roman" w:eastAsia="Times New Roman" w:hAnsi="Times New Roman"/>
          <w:sz w:val="19"/>
          <w:szCs w:val="19"/>
          <w:u w:val="single" w:color="auto"/>
          <w:color w:val="auto"/>
        </w:rPr>
        <w:t>Expenses.</w:t>
      </w:r>
    </w:p>
    <w:p>
      <w:pPr>
        <w:spacing w:after="0" w:line="18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color w:val="auto"/>
        </w:rPr>
        <w:t>The expenses of administering the Plan shall be borne by the Company and its Subsidiaries.</w:t>
      </w:r>
    </w:p>
    <w:p>
      <w:pPr>
        <w:spacing w:after="0" w:line="184" w:lineRule="exact"/>
        <w:rPr>
          <w:sz w:val="20"/>
          <w:szCs w:val="20"/>
          <w:color w:val="auto"/>
        </w:rPr>
      </w:pPr>
    </w:p>
    <w:p>
      <w:pPr>
        <w:ind w:left="640"/>
        <w:spacing w:after="0"/>
        <w:tabs>
          <w:tab w:leader="none" w:pos="1420" w:val="left"/>
        </w:tabs>
        <w:rPr>
          <w:sz w:val="20"/>
          <w:szCs w:val="20"/>
          <w:color w:val="auto"/>
        </w:rPr>
      </w:pPr>
      <w:r>
        <w:rPr>
          <w:rFonts w:ascii="Times New Roman" w:cs="Times New Roman" w:eastAsia="Times New Roman" w:hAnsi="Times New Roman"/>
          <w:sz w:val="22"/>
          <w:szCs w:val="22"/>
          <w:color w:val="auto"/>
        </w:rPr>
        <w:t>12.17</w:t>
      </w:r>
      <w:r>
        <w:rPr>
          <w:sz w:val="20"/>
          <w:szCs w:val="20"/>
          <w:color w:val="auto"/>
        </w:rPr>
        <w:tab/>
      </w:r>
      <w:r>
        <w:rPr>
          <w:rFonts w:ascii="Times New Roman" w:cs="Times New Roman" w:eastAsia="Times New Roman" w:hAnsi="Times New Roman"/>
          <w:sz w:val="19"/>
          <w:szCs w:val="19"/>
          <w:u w:val="single" w:color="auto"/>
          <w:color w:val="auto"/>
        </w:rPr>
        <w:t>Escrow; Pledge of Shares.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301625</wp:posOffset>
            </wp:positionV>
            <wp:extent cx="5871845" cy="508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p>
      <w:pPr>
        <w:sectPr>
          <w:pgSz w:w="11900" w:h="16838" w:orient="portrait"/>
          <w:cols w:equalWidth="0" w:num="1">
            <w:col w:w="9160"/>
          </w:cols>
          <w:pgMar w:left="1360" w:top="436" w:right="1379" w:bottom="1440" w:gutter="0" w:footer="0" w:header="0"/>
        </w:sectPr>
      </w:pPr>
    </w:p>
    <w:bookmarkStart w:id="37" w:name="page38"/>
    <w:bookmarkEnd w:id="37"/>
    <w:p>
      <w:pPr>
        <w:ind w:right="420" w:firstLine="697"/>
        <w:spacing w:after="0" w:line="234" w:lineRule="auto"/>
        <w:rPr>
          <w:sz w:val="20"/>
          <w:szCs w:val="20"/>
          <w:color w:val="auto"/>
        </w:rPr>
      </w:pPr>
      <w:r>
        <w:rPr>
          <w:rFonts w:ascii="Times New Roman" w:cs="Times New Roman" w:eastAsia="Times New Roman" w:hAnsi="Times New Roman"/>
          <w:sz w:val="19"/>
          <w:szCs w:val="19"/>
          <w:color w:val="auto"/>
        </w:rPr>
        <w:t>To enforce any restrictions on a Holder’s Shares, the Committee may require the Holder to deposit all certificates representing Shares, together with stock powers or other instruments of transfer approved by the</w:t>
      </w:r>
    </w:p>
    <w:p>
      <w:pPr>
        <w:spacing w:after="0" w:line="1" w:lineRule="exact"/>
        <w:rPr>
          <w:sz w:val="20"/>
          <w:szCs w:val="20"/>
          <w:color w:val="auto"/>
        </w:rPr>
      </w:pPr>
    </w:p>
    <w:p>
      <w:pPr>
        <w:ind w:right="120"/>
        <w:spacing w:after="0" w:line="204" w:lineRule="auto"/>
        <w:rPr>
          <w:sz w:val="20"/>
          <w:szCs w:val="20"/>
          <w:color w:val="auto"/>
        </w:rPr>
      </w:pPr>
      <w:r>
        <w:rPr>
          <w:rFonts w:ascii="Times New Roman" w:cs="Times New Roman" w:eastAsia="Times New Roman" w:hAnsi="Times New Roman"/>
          <w:sz w:val="20"/>
          <w:szCs w:val="20"/>
          <w:color w:val="auto"/>
        </w:rPr>
        <w:t>Committee, appropriately endorsed in blank, with the Company or an agent designated by the Company to hold in escrow until such restrictions have lapsed or terminated, and the Committee may cause a legend or legends</w:t>
      </w:r>
    </w:p>
    <w:p>
      <w:pPr>
        <w:spacing w:after="0" w:line="211" w:lineRule="auto"/>
        <w:rPr>
          <w:sz w:val="20"/>
          <w:szCs w:val="20"/>
          <w:color w:val="auto"/>
        </w:rPr>
      </w:pPr>
      <w:r>
        <w:rPr>
          <w:rFonts w:ascii="Times New Roman" w:cs="Times New Roman" w:eastAsia="Times New Roman" w:hAnsi="Times New Roman"/>
          <w:sz w:val="20"/>
          <w:szCs w:val="20"/>
          <w:color w:val="auto"/>
        </w:rPr>
        <w:t>referencing such restrictions to be placed on the certificates. Any Holder who is permitted to execute a promissory</w:t>
      </w:r>
    </w:p>
    <w:p>
      <w:pPr>
        <w:spacing w:after="0" w:line="1" w:lineRule="exact"/>
        <w:rPr>
          <w:sz w:val="20"/>
          <w:szCs w:val="20"/>
          <w:color w:val="auto"/>
        </w:rPr>
      </w:pPr>
    </w:p>
    <w:p>
      <w:pPr>
        <w:ind w:right="20"/>
        <w:spacing w:after="0" w:line="215" w:lineRule="auto"/>
        <w:rPr>
          <w:sz w:val="20"/>
          <w:szCs w:val="20"/>
          <w:color w:val="auto"/>
        </w:rPr>
      </w:pPr>
      <w:r>
        <w:rPr>
          <w:rFonts w:ascii="Times New Roman" w:cs="Times New Roman" w:eastAsia="Times New Roman" w:hAnsi="Times New Roman"/>
          <w:sz w:val="19"/>
          <w:szCs w:val="19"/>
          <w:color w:val="auto"/>
        </w:rPr>
        <w:t>note as partial or full consideration for the purchase of Shares under this Plan will be required to pledge and deposit with the Company all or part of the Shares so purchased as collateral to secure the payment of the Holder’s</w:t>
      </w:r>
    </w:p>
    <w:p>
      <w:pPr>
        <w:spacing w:after="0" w:line="211" w:lineRule="auto"/>
        <w:rPr>
          <w:sz w:val="20"/>
          <w:szCs w:val="20"/>
          <w:color w:val="auto"/>
        </w:rPr>
      </w:pPr>
      <w:r>
        <w:rPr>
          <w:rFonts w:ascii="Times New Roman" w:cs="Times New Roman" w:eastAsia="Times New Roman" w:hAnsi="Times New Roman"/>
          <w:sz w:val="20"/>
          <w:szCs w:val="20"/>
          <w:color w:val="auto"/>
        </w:rPr>
        <w:t xml:space="preserve">obligation to the Company under the promissory note;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Committee may require or</w:t>
      </w:r>
    </w:p>
    <w:p>
      <w:pPr>
        <w:ind w:right="200"/>
        <w:spacing w:after="0" w:line="215" w:lineRule="auto"/>
        <w:rPr>
          <w:sz w:val="20"/>
          <w:szCs w:val="20"/>
          <w:color w:val="auto"/>
        </w:rPr>
      </w:pPr>
      <w:r>
        <w:rPr>
          <w:rFonts w:ascii="Times New Roman" w:cs="Times New Roman" w:eastAsia="Times New Roman" w:hAnsi="Times New Roman"/>
          <w:sz w:val="19"/>
          <w:szCs w:val="19"/>
          <w:color w:val="auto"/>
        </w:rPr>
        <w:t>accept other or additional forms of collateral to secure the payment of such obligation and, in any event, the Company will have full recourse against the Holder under the promissory note notwithstanding any pledge of the</w:t>
      </w:r>
    </w:p>
    <w:p>
      <w:pPr>
        <w:spacing w:after="0" w:line="211" w:lineRule="auto"/>
        <w:rPr>
          <w:sz w:val="20"/>
          <w:szCs w:val="20"/>
          <w:color w:val="auto"/>
        </w:rPr>
      </w:pPr>
      <w:r>
        <w:rPr>
          <w:rFonts w:ascii="Times New Roman" w:cs="Times New Roman" w:eastAsia="Times New Roman" w:hAnsi="Times New Roman"/>
          <w:sz w:val="20"/>
          <w:szCs w:val="20"/>
          <w:color w:val="auto"/>
        </w:rPr>
        <w:t>Holder’s Shares or other collateral. In connection with any pledge of the Shares, the Holder will be required to</w:t>
      </w:r>
    </w:p>
    <w:p>
      <w:pPr>
        <w:spacing w:after="0" w:line="215" w:lineRule="auto"/>
        <w:rPr>
          <w:sz w:val="20"/>
          <w:szCs w:val="20"/>
          <w:color w:val="auto"/>
        </w:rPr>
      </w:pPr>
      <w:r>
        <w:rPr>
          <w:rFonts w:ascii="Times New Roman" w:cs="Times New Roman" w:eastAsia="Times New Roman" w:hAnsi="Times New Roman"/>
          <w:sz w:val="19"/>
          <w:szCs w:val="19"/>
          <w:color w:val="auto"/>
        </w:rPr>
        <w:t>execute and deliver a written pledge agreement in such form as the Committee will from time to time approve. The Shares purchased with the promissory note may be released from the pledge on a pro rata basis as the promissory</w:t>
      </w:r>
    </w:p>
    <w:p>
      <w:pPr>
        <w:spacing w:after="0"/>
        <w:rPr>
          <w:sz w:val="20"/>
          <w:szCs w:val="20"/>
          <w:color w:val="auto"/>
        </w:rPr>
      </w:pPr>
      <w:r>
        <w:rPr>
          <w:rFonts w:ascii="Times New Roman" w:cs="Times New Roman" w:eastAsia="Times New Roman" w:hAnsi="Times New Roman"/>
          <w:sz w:val="20"/>
          <w:szCs w:val="20"/>
          <w:color w:val="auto"/>
        </w:rPr>
        <w:t>note is paid.</w:t>
      </w:r>
    </w:p>
    <w:p>
      <w:pPr>
        <w:spacing w:after="0" w:line="162" w:lineRule="exact"/>
        <w:rPr>
          <w:sz w:val="20"/>
          <w:szCs w:val="20"/>
          <w:color w:val="auto"/>
        </w:rPr>
      </w:pPr>
    </w:p>
    <w:p>
      <w:pPr>
        <w:ind w:left="640"/>
        <w:spacing w:after="0"/>
        <w:tabs>
          <w:tab w:leader="none" w:pos="1420" w:val="left"/>
        </w:tabs>
        <w:rPr>
          <w:sz w:val="20"/>
          <w:szCs w:val="20"/>
          <w:color w:val="auto"/>
        </w:rPr>
      </w:pPr>
      <w:r>
        <w:rPr>
          <w:rFonts w:ascii="Times New Roman" w:cs="Times New Roman" w:eastAsia="Times New Roman" w:hAnsi="Times New Roman"/>
          <w:sz w:val="22"/>
          <w:szCs w:val="22"/>
          <w:color w:val="auto"/>
        </w:rPr>
        <w:t>12.18</w:t>
      </w:r>
      <w:r>
        <w:rPr>
          <w:sz w:val="20"/>
          <w:szCs w:val="20"/>
          <w:color w:val="auto"/>
        </w:rPr>
        <w:tab/>
      </w:r>
      <w:r>
        <w:rPr>
          <w:rFonts w:ascii="Times New Roman" w:cs="Times New Roman" w:eastAsia="Times New Roman" w:hAnsi="Times New Roman"/>
          <w:sz w:val="19"/>
          <w:szCs w:val="19"/>
          <w:u w:val="single" w:color="auto"/>
          <w:color w:val="auto"/>
        </w:rPr>
        <w:t>No Obligation to Employ.</w:t>
      </w:r>
    </w:p>
    <w:p>
      <w:pPr>
        <w:spacing w:after="0" w:line="184" w:lineRule="exact"/>
        <w:rPr>
          <w:sz w:val="20"/>
          <w:szCs w:val="20"/>
          <w:color w:val="auto"/>
        </w:rPr>
      </w:pPr>
    </w:p>
    <w:p>
      <w:pPr>
        <w:ind w:right="480" w:firstLine="648"/>
        <w:spacing w:after="0" w:line="227" w:lineRule="auto"/>
        <w:rPr>
          <w:sz w:val="20"/>
          <w:szCs w:val="20"/>
          <w:color w:val="auto"/>
        </w:rPr>
      </w:pPr>
      <w:r>
        <w:rPr>
          <w:rFonts w:ascii="Times New Roman" w:cs="Times New Roman" w:eastAsia="Times New Roman" w:hAnsi="Times New Roman"/>
          <w:sz w:val="19"/>
          <w:szCs w:val="19"/>
          <w:color w:val="auto"/>
        </w:rPr>
        <w:t>Nothing in this Plan or any Award granted under this Plan will confer or be deemed to confer on any Holder any right to continue in the employ of, or to continue any other relationship with, the Company or any</w:t>
      </w:r>
    </w:p>
    <w:p>
      <w:pPr>
        <w:ind w:right="240"/>
        <w:spacing w:after="0" w:line="215" w:lineRule="auto"/>
        <w:rPr>
          <w:sz w:val="20"/>
          <w:szCs w:val="20"/>
          <w:color w:val="auto"/>
        </w:rPr>
      </w:pPr>
      <w:r>
        <w:rPr>
          <w:rFonts w:ascii="Times New Roman" w:cs="Times New Roman" w:eastAsia="Times New Roman" w:hAnsi="Times New Roman"/>
          <w:sz w:val="19"/>
          <w:szCs w:val="19"/>
          <w:color w:val="auto"/>
        </w:rPr>
        <w:t>Parent or Subsidiary of the Company, provide any employment-related rights, or limit in any way the right of the Company or any Parent or Subsidiary of the Company to terminate Holder’s employment or other relationship at</w:t>
      </w:r>
    </w:p>
    <w:p>
      <w:pPr>
        <w:jc w:val="center"/>
        <w:ind w:right="5180"/>
        <w:spacing w:after="0"/>
        <w:rPr>
          <w:sz w:val="20"/>
          <w:szCs w:val="20"/>
          <w:color w:val="auto"/>
        </w:rPr>
      </w:pPr>
      <w:r>
        <w:rPr>
          <w:rFonts w:ascii="Times New Roman" w:cs="Times New Roman" w:eastAsia="Times New Roman" w:hAnsi="Times New Roman"/>
          <w:sz w:val="19"/>
          <w:szCs w:val="19"/>
          <w:color w:val="auto"/>
        </w:rPr>
        <w:t>any time, subject to applicable legal requirements.</w:t>
      </w:r>
    </w:p>
    <w:p>
      <w:pPr>
        <w:spacing w:after="0" w:line="173" w:lineRule="exact"/>
        <w:rPr>
          <w:sz w:val="20"/>
          <w:szCs w:val="20"/>
          <w:color w:val="auto"/>
        </w:rPr>
      </w:pPr>
    </w:p>
    <w:p>
      <w:pPr>
        <w:jc w:val="center"/>
        <w:ind w:right="5240"/>
        <w:spacing w:after="0"/>
        <w:tabs>
          <w:tab w:leader="none" w:pos="300" w:val="left"/>
        </w:tabs>
        <w:rPr>
          <w:sz w:val="20"/>
          <w:szCs w:val="20"/>
          <w:color w:val="auto"/>
        </w:rPr>
      </w:pPr>
      <w:r>
        <w:rPr>
          <w:rFonts w:ascii="Times New Roman" w:cs="Times New Roman" w:eastAsia="Times New Roman" w:hAnsi="Times New Roman"/>
          <w:sz w:val="22"/>
          <w:szCs w:val="22"/>
          <w:color w:val="auto"/>
        </w:rPr>
        <w:t>12.19</w:t>
      </w:r>
      <w:r>
        <w:rPr>
          <w:sz w:val="20"/>
          <w:szCs w:val="20"/>
          <w:color w:val="auto"/>
        </w:rPr>
        <w:tab/>
      </w:r>
      <w:r>
        <w:rPr>
          <w:rFonts w:ascii="Times New Roman" w:cs="Times New Roman" w:eastAsia="Times New Roman" w:hAnsi="Times New Roman"/>
          <w:sz w:val="19"/>
          <w:szCs w:val="19"/>
          <w:u w:val="single" w:color="auto"/>
          <w:color w:val="auto"/>
        </w:rPr>
        <w:t>Insider Trading Policy.</w:t>
      </w:r>
    </w:p>
    <w:p>
      <w:pPr>
        <w:spacing w:after="0" w:line="184" w:lineRule="exact"/>
        <w:rPr>
          <w:sz w:val="20"/>
          <w:szCs w:val="20"/>
          <w:color w:val="auto"/>
        </w:rPr>
      </w:pPr>
    </w:p>
    <w:p>
      <w:pPr>
        <w:ind w:right="260" w:firstLine="648"/>
        <w:spacing w:after="0" w:line="227" w:lineRule="auto"/>
        <w:rPr>
          <w:sz w:val="20"/>
          <w:szCs w:val="20"/>
          <w:color w:val="auto"/>
        </w:rPr>
      </w:pPr>
      <w:r>
        <w:rPr>
          <w:rFonts w:ascii="Times New Roman" w:cs="Times New Roman" w:eastAsia="Times New Roman" w:hAnsi="Times New Roman"/>
          <w:sz w:val="19"/>
          <w:szCs w:val="19"/>
          <w:color w:val="auto"/>
        </w:rPr>
        <w:t>Each Holder who receives an Award shall comply with all laws and any policy adopted by the Company from time to time covering transactions in the Company’s securities by Employees, Consultants, officers and/or</w:t>
      </w:r>
    </w:p>
    <w:p>
      <w:pPr>
        <w:spacing w:after="0"/>
        <w:rPr>
          <w:sz w:val="20"/>
          <w:szCs w:val="20"/>
          <w:color w:val="auto"/>
        </w:rPr>
      </w:pPr>
      <w:r>
        <w:rPr>
          <w:rFonts w:ascii="Times New Roman" w:cs="Times New Roman" w:eastAsia="Times New Roman" w:hAnsi="Times New Roman"/>
          <w:sz w:val="20"/>
          <w:szCs w:val="20"/>
          <w:color w:val="auto"/>
        </w:rPr>
        <w:t>Directors of the Company.</w:t>
      </w:r>
    </w:p>
    <w:p>
      <w:pPr>
        <w:spacing w:after="0" w:line="167" w:lineRule="exact"/>
        <w:rPr>
          <w:sz w:val="20"/>
          <w:szCs w:val="20"/>
          <w:color w:val="auto"/>
        </w:rPr>
      </w:pPr>
    </w:p>
    <w:p>
      <w:pPr>
        <w:ind w:left="3040"/>
        <w:spacing w:after="0"/>
        <w:tabs>
          <w:tab w:leader="none" w:pos="3760" w:val="left"/>
          <w:tab w:leader="none" w:pos="4520" w:val="left"/>
          <w:tab w:leader="none" w:pos="5260" w:val="left"/>
          <w:tab w:leader="none" w:pos="6000" w:val="left"/>
        </w:tabs>
        <w:rPr>
          <w:sz w:val="20"/>
          <w:szCs w:val="20"/>
          <w:color w:val="auto"/>
        </w:rPr>
      </w:pP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5871845" cy="508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5871845" cy="50800"/>
                    </a:xfrm>
                    <a:prstGeom prst="rect">
                      <a:avLst/>
                    </a:prstGeom>
                    <a:noFill/>
                  </pic:spPr>
                </pic:pic>
              </a:graphicData>
            </a:graphic>
          </wp:anchor>
        </w:drawing>
      </w:r>
    </w:p>
    <w:sectPr>
      <w:pgSz w:w="11900" w:h="16838" w:orient="portrait"/>
      <w:cols w:equalWidth="0" w:num="1">
        <w:col w:w="9160"/>
      </w:cols>
      <w:pgMar w:left="1360" w:top="441"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5"/>
    </w:lvl>
  </w:abstractNum>
  <w:abstractNum w:abstractNumId="2">
    <w:nsid w:val="628C895D"/>
    <w:multiLevelType w:val="hybridMultilevel"/>
    <w:lvl w:ilvl="0">
      <w:lvlJc w:val="left"/>
      <w:lvlText w:val="(%1)"/>
      <w:numFmt w:val="lowerLetter"/>
      <w:start w:val="4"/>
    </w:lvl>
  </w:abstractNum>
  <w:abstractNum w:abstractNumId="3">
    <w:nsid w:val="333AB105"/>
    <w:multiLevelType w:val="hybridMultilevel"/>
    <w:lvl w:ilvl="0">
      <w:lvlJc w:val="left"/>
      <w:lvlText w:val="(%1)"/>
      <w:numFmt w:val="lowerLetter"/>
      <w:start w:val="1"/>
    </w:lvl>
    <w:lvl w:ilvl="1">
      <w:lvlJc w:val="left"/>
      <w:lvlText w:val="(%2)"/>
      <w:numFmt w:val="lowerRoman"/>
      <w:start w:val="1"/>
    </w:lvl>
  </w:abstractNum>
  <w:abstractNum w:abstractNumId="4">
    <w:nsid w:val="721DA317"/>
    <w:multiLevelType w:val="hybridMultilevel"/>
    <w:lvl w:ilvl="0">
      <w:lvlJc w:val="left"/>
      <w:lvlText w:val="(%1)"/>
      <w:numFmt w:val="lowerLetter"/>
      <w:start w:val="1"/>
    </w:lvl>
  </w:abstractNum>
  <w:abstractNum w:abstractNumId="5">
    <w:nsid w:val="2443A858"/>
    <w:multiLevelType w:val="hybridMultilevel"/>
    <w:lvl w:ilvl="0">
      <w:lvlJc w:val="left"/>
      <w:lvlText w:val="(%1)"/>
      <w:numFmt w:val="lowerLetter"/>
      <w:start w:val="2"/>
    </w:lvl>
  </w:abstractNum>
  <w:abstractNum w:abstractNumId="6">
    <w:nsid w:val="2D1D5AE9"/>
    <w:multiLevelType w:val="hybridMultilevel"/>
    <w:lvl w:ilvl="0">
      <w:lvlJc w:val="left"/>
      <w:lvlText w:val="(%1)"/>
      <w:numFmt w:val="lowerLetter"/>
      <w:start w:val="1"/>
    </w:lvl>
  </w:abstractNum>
  <w:abstractNum w:abstractNumId="7">
    <w:nsid w:val="6763845E"/>
    <w:multiLevelType w:val="hybridMultilevel"/>
    <w:lvl w:ilvl="0">
      <w:lvlJc w:val="left"/>
      <w:lvlText w:val="%1"/>
      <w:numFmt w:val="lowerLetter"/>
      <w:start w:val="1"/>
    </w:lvl>
    <w:lvl w:ilvl="1">
      <w:lvlJc w:val="left"/>
      <w:lvlText w:val="(%2)"/>
      <w:numFmt w:val="lowerLetter"/>
      <w:start w:val="1"/>
    </w:lvl>
  </w:abstractNum>
  <w:abstractNum w:abstractNumId="8">
    <w:nsid w:val="75A2A8D4"/>
    <w:multiLevelType w:val="hybridMultilevel"/>
    <w:lvl w:ilvl="0">
      <w:lvlJc w:val="left"/>
      <w:lvlText w:val="(%1)"/>
      <w:numFmt w:val="lowerLetter"/>
      <w:start w:val="35"/>
    </w:lvl>
    <w:lvl w:ilvl="1">
      <w:lvlJc w:val="left"/>
      <w:lvlText w:val="%2"/>
      <w:numFmt w:val="lowerLetter"/>
      <w:start w:val="1"/>
    </w:lvl>
  </w:abstractNum>
  <w:abstractNum w:abstractNumId="9">
    <w:nsid w:val="8EDBDAB"/>
    <w:multiLevelType w:val="hybridMultilevel"/>
    <w:lvl w:ilvl="0">
      <w:lvlJc w:val="left"/>
      <w:lvlText w:val="(%1)"/>
      <w:numFmt w:val="lowerRoman"/>
      <w:start w:val="5"/>
    </w:lvl>
    <w:lvl w:ilvl="1">
      <w:lvlJc w:val="left"/>
      <w:lvlText w:val="%2"/>
      <w:numFmt w:val="lowerLetter"/>
      <w:start w:val="1"/>
    </w:lvl>
  </w:abstractNum>
  <w:abstractNum w:abstractNumId="10">
    <w:nsid w:val="79838CB2"/>
    <w:multiLevelType w:val="hybridMultilevel"/>
    <w:lvl w:ilvl="0">
      <w:lvlJc w:val="left"/>
      <w:lvlText w:val="(%1)"/>
      <w:numFmt w:val="lowerRoman"/>
      <w:start w:val="13"/>
    </w:lvl>
    <w:lvl w:ilvl="1">
      <w:lvlJc w:val="left"/>
      <w:lvlText w:val="%2"/>
      <w:numFmt w:val="lowerLetter"/>
      <w:start w:val="1"/>
    </w:lvl>
  </w:abstractNum>
  <w:abstractNum w:abstractNumId="11">
    <w:nsid w:val="4353D0CD"/>
    <w:multiLevelType w:val="hybridMultilevel"/>
    <w:lvl w:ilvl="0">
      <w:lvlJc w:val="left"/>
      <w:lvlText w:val="(%1)"/>
      <w:numFmt w:val="lowerRoman"/>
      <w:start w:val="16"/>
    </w:lvl>
    <w:lvl w:ilvl="1">
      <w:lvlJc w:val="left"/>
      <w:lvlText w:val="%2"/>
      <w:numFmt w:val="lowerLetter"/>
      <w:start w:val="1"/>
    </w:lvl>
  </w:abstractNum>
  <w:abstractNum w:abstractNumId="12">
    <w:nsid w:val="B03E0C6"/>
    <w:multiLevelType w:val="hybridMultilevel"/>
    <w:lvl w:ilvl="0">
      <w:lvlJc w:val="left"/>
      <w:lvlText w:val="(%1)"/>
      <w:numFmt w:val="lowerRoman"/>
      <w:start w:val="28"/>
    </w:lvl>
    <w:lvl w:ilvl="1">
      <w:lvlJc w:val="left"/>
      <w:lvlText w:val="(%2)"/>
      <w:numFmt w:val="lowerLetter"/>
      <w:start w:val="2"/>
    </w:lvl>
  </w:abstractNum>
  <w:abstractNum w:abstractNumId="13">
    <w:nsid w:val="189A769B"/>
    <w:multiLevelType w:val="hybridMultilevel"/>
    <w:lvl w:ilvl="0">
      <w:lvlJc w:val="left"/>
      <w:lvlText w:val="(%1)"/>
      <w:numFmt w:val="lowerRoman"/>
      <w:start w:val="2"/>
    </w:lvl>
    <w:lvl w:ilvl="1">
      <w:lvlJc w:val="left"/>
      <w:lvlText w:val="%2"/>
      <w:numFmt w:val="lowerLetter"/>
      <w:start w:val="1"/>
    </w:lvl>
  </w:abstractNum>
  <w:abstractNum w:abstractNumId="14">
    <w:nsid w:val="54E49EB4"/>
    <w:multiLevelType w:val="hybridMultilevel"/>
    <w:lvl w:ilvl="0">
      <w:lvlJc w:val="left"/>
      <w:lvlText w:val="(%1)"/>
      <w:numFmt w:val="lowerRoman"/>
      <w:start w:val="16"/>
    </w:lvl>
  </w:abstractNum>
  <w:abstractNum w:abstractNumId="15">
    <w:nsid w:val="71F32454"/>
    <w:multiLevelType w:val="hybridMultilevel"/>
    <w:lvl w:ilvl="0">
      <w:lvlJc w:val="left"/>
      <w:lvlText w:val="(%1)"/>
      <w:numFmt w:val="lowerLetter"/>
      <w:start w:val="1"/>
    </w:lvl>
  </w:abstractNum>
  <w:abstractNum w:abstractNumId="16">
    <w:nsid w:val="2CA88611"/>
    <w:multiLevelType w:val="hybridMultilevel"/>
    <w:lvl w:ilvl="0">
      <w:lvlJc w:val="left"/>
      <w:lvlText w:val="(%1)"/>
      <w:numFmt w:val="lowerLetter"/>
      <w:start w:val="1"/>
    </w:lvl>
  </w:abstractNum>
  <w:abstractNum w:abstractNumId="17">
    <w:nsid w:val="836C40E"/>
    <w:multiLevelType w:val="hybridMultilevel"/>
    <w:lvl w:ilvl="0">
      <w:lvlJc w:val="left"/>
      <w:lvlText w:val="(%1)"/>
      <w:numFmt w:val="lowerLetter"/>
      <w:start w:val="2"/>
    </w:lvl>
  </w:abstractNum>
  <w:abstractNum w:abstractNumId="18">
    <w:nsid w:val="2901D82"/>
    <w:multiLevelType w:val="hybridMultilevel"/>
    <w:lvl w:ilvl="0">
      <w:lvlJc w:val="left"/>
      <w:lvlText w:val="(%1)"/>
      <w:numFmt w:val="lowerLetter"/>
      <w:start w:val="1"/>
    </w:lvl>
  </w:abstractNum>
  <w:abstractNum w:abstractNumId="19">
    <w:nsid w:val="3A95F874"/>
    <w:multiLevelType w:val="hybridMultilevel"/>
    <w:lvl w:ilvl="0">
      <w:lvlJc w:val="left"/>
      <w:lvlText w:val="(%1)"/>
      <w:numFmt w:val="lowerLetter"/>
      <w:start w:val="1"/>
    </w:lvl>
  </w:abstractNum>
  <w:abstractNum w:abstractNumId="20">
    <w:nsid w:val="8138641"/>
    <w:multiLevelType w:val="hybridMultilevel"/>
    <w:lvl w:ilvl="0">
      <w:lvlJc w:val="left"/>
      <w:lvlText w:val="(%1)"/>
      <w:numFmt w:val="lowerLetter"/>
      <w:start w:val="1"/>
    </w:lvl>
  </w:abstractNum>
  <w:abstractNum w:abstractNumId="21">
    <w:nsid w:val="1E7FF521"/>
    <w:multiLevelType w:val="hybridMultilevel"/>
    <w:lvl w:ilvl="0">
      <w:lvlJc w:val="left"/>
      <w:lvlText w:val="(%1)"/>
      <w:numFmt w:val="lowerRoman"/>
      <w:start w:val="1"/>
    </w:lvl>
  </w:abstractNum>
  <w:abstractNum w:abstractNumId="22">
    <w:nsid w:val="7C3DBD3D"/>
    <w:multiLevelType w:val="hybridMultilevel"/>
    <w:lvl w:ilvl="0">
      <w:lvlJc w:val="left"/>
      <w:lvlText w:val="(%1)"/>
      <w:numFmt w:val="lowerLetter"/>
      <w:start w:val="1"/>
    </w:lvl>
  </w:abstractNum>
  <w:abstractNum w:abstractNumId="23">
    <w:nsid w:val="737B8DDC"/>
    <w:multiLevelType w:val="hybridMultilevel"/>
    <w:lvl w:ilvl="0">
      <w:lvlJc w:val="left"/>
      <w:lvlText w:val="(%1)"/>
      <w:numFmt w:val="lowerLetter"/>
      <w:start w:val="2"/>
    </w:lvl>
  </w:abstractNum>
  <w:abstractNum w:abstractNumId="24">
    <w:nsid w:val="6CEAF087"/>
    <w:multiLevelType w:val="hybridMultilevel"/>
    <w:lvl w:ilvl="0">
      <w:lvlJc w:val="left"/>
      <w:lvlText w:val="(%1)"/>
      <w:numFmt w:val="lowerLetter"/>
      <w:start w:val="1"/>
    </w:lvl>
  </w:abstractNum>
  <w:abstractNum w:abstractNumId="25">
    <w:nsid w:val="22221A70"/>
    <w:multiLevelType w:val="hybridMultilevel"/>
    <w:lvl w:ilvl="0">
      <w:lvlJc w:val="left"/>
      <w:lvlText w:val="(%1)"/>
      <w:numFmt w:val="lowerLetter"/>
      <w:start w:val="3"/>
    </w:lvl>
  </w:abstractNum>
  <w:abstractNum w:abstractNumId="26">
    <w:nsid w:val="4516DDE9"/>
    <w:multiLevelType w:val="hybridMultilevel"/>
    <w:lvl w:ilvl="0">
      <w:lvlJc w:val="left"/>
      <w:lvlText w:val="(%1)"/>
      <w:numFmt w:val="lowerLetter"/>
      <w:start w:val="1"/>
    </w:lvl>
  </w:abstractNum>
  <w:abstractNum w:abstractNumId="27">
    <w:nsid w:val="3006C83E"/>
    <w:multiLevelType w:val="hybridMultilevel"/>
    <w:lvl w:ilvl="0">
      <w:lvlJc w:val="left"/>
      <w:lvlText w:val="(%1)"/>
      <w:numFmt w:val="lowerLetter"/>
      <w:start w:val="1"/>
    </w:lvl>
  </w:abstractNum>
  <w:abstractNum w:abstractNumId="28">
    <w:nsid w:val="614FD4A1"/>
    <w:multiLevelType w:val="hybridMultilevel"/>
    <w:lvl w:ilvl="0">
      <w:lvlJc w:val="left"/>
      <w:lvlText w:val="(%1)"/>
      <w:numFmt w:val="lowerLetter"/>
      <w:start w:val="1"/>
    </w:lvl>
    <w:lvl w:ilvl="1">
      <w:lvlJc w:val="left"/>
      <w:lvlText w:val="(%2)"/>
      <w:numFmt w:val="lowerRoman"/>
      <w:start w:val="1"/>
    </w:lvl>
  </w:abstractNum>
  <w:abstractNum w:abstractNumId="29">
    <w:nsid w:val="419AC241"/>
    <w:multiLevelType w:val="hybridMultilevel"/>
    <w:lvl w:ilvl="0">
      <w:lvlJc w:val="left"/>
      <w:lvlText w:val="(%1)"/>
      <w:numFmt w:val="lowerLetter"/>
      <w:start w:val="61"/>
    </w:lvl>
    <w:lvl w:ilvl="1">
      <w:lvlJc w:val="left"/>
      <w:lvlText w:val="(%2)"/>
      <w:numFmt w:val="lowerLetter"/>
      <w:start w:val="3"/>
    </w:lvl>
  </w:abstractNum>
  <w:abstractNum w:abstractNumId="30">
    <w:nsid w:val="5577F8E1"/>
    <w:multiLevelType w:val="hybridMultilevel"/>
    <w:lvl w:ilvl="0">
      <w:lvlJc w:val="left"/>
      <w:lvlText w:val="(%1)"/>
      <w:numFmt w:val="lowerLetter"/>
      <w:start w:val="1"/>
    </w:lvl>
  </w:abstractNum>
  <w:abstractNum w:abstractNumId="31">
    <w:nsid w:val="440BADFC"/>
    <w:multiLevelType w:val="hybridMultilevel"/>
    <w:lvl w:ilvl="0">
      <w:lvlJc w:val="left"/>
      <w:lvlText w:val="(%1)"/>
      <w:numFmt w:val="lowerLetter"/>
      <w:start w:val="1"/>
    </w:lvl>
  </w:abstractNum>
  <w:abstractNum w:abstractNumId="32">
    <w:nsid w:val="5072367"/>
    <w:multiLevelType w:val="hybridMultilevel"/>
    <w:lvl w:ilvl="0">
      <w:lvlJc w:val="left"/>
      <w:lvlText w:val="(%1)"/>
      <w:numFmt w:val="lowerLetter"/>
      <w:start w:val="1"/>
    </w:lvl>
  </w:abstractNum>
  <w:abstractNum w:abstractNumId="33">
    <w:nsid w:val="3804823E"/>
    <w:multiLevelType w:val="hybridMultilevel"/>
    <w:lvl w:ilvl="0">
      <w:lvlJc w:val="left"/>
      <w:lvlText w:val="(%1)"/>
      <w:numFmt w:val="lowerLetter"/>
      <w:start w:val="1"/>
    </w:lvl>
  </w:abstractNum>
  <w:abstractNum w:abstractNumId="34">
    <w:nsid w:val="77465F0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5">
    <w:nsid w:val="7724C67E"/>
    <w:multiLevelType w:val="hybridMultilevel"/>
    <w:lvl w:ilvl="0">
      <w:lvlJc w:val="left"/>
      <w:lvlText w:val="(%1)"/>
      <w:numFmt w:val="lowerLetter"/>
      <w:start w:val="61"/>
    </w:lvl>
    <w:lvl w:ilvl="1">
      <w:lvlJc w:val="left"/>
      <w:lvlText w:val="(%2)"/>
      <w:numFmt w:val="lowerLetter"/>
      <w:start w:val="2"/>
    </w:lvl>
    <w:lvl w:ilvl="2">
      <w:lvlJc w:val="left"/>
      <w:lvlText w:val="(%3)"/>
      <w:numFmt w:val="lowerRoman"/>
      <w:start w:val="1"/>
    </w:lvl>
  </w:abstractNum>
  <w:abstractNum w:abstractNumId="36">
    <w:nsid w:val="5C482A97"/>
    <w:multiLevelType w:val="hybridMultilevel"/>
    <w:lvl w:ilvl="0">
      <w:lvlJc w:val="left"/>
      <w:lvlText w:val="%1"/>
      <w:numFmt w:val="decimal"/>
      <w:start w:val="1"/>
    </w:lvl>
    <w:lvl w:ilvl="1">
      <w:lvlJc w:val="left"/>
      <w:lvlText w:val="(%2)"/>
      <w:numFmt w:val="lowerLetter"/>
      <w:start w:val="4"/>
    </w:lvl>
  </w:abstractNum>
  <w:abstractNum w:abstractNumId="37">
    <w:nsid w:val="2463B9EA"/>
    <w:multiLevelType w:val="hybridMultilevel"/>
    <w:lvl w:ilvl="0">
      <w:lvlJc w:val="left"/>
      <w:lvlText w:val="(%1)"/>
      <w:numFmt w:val="decimal"/>
      <w:start w:val="1"/>
    </w:lvl>
    <w:lvl w:ilvl="1">
      <w:lvlJc w:val="left"/>
      <w:lvlText w:val="(%2)"/>
      <w:numFmt w:val="lowerLetter"/>
      <w:start w:val="6"/>
    </w:lvl>
  </w:abstractNum>
  <w:abstractNum w:abstractNumId="38">
    <w:nsid w:val="5E884ADC"/>
    <w:multiLevelType w:val="hybridMultilevel"/>
    <w:lvl w:ilvl="0">
      <w:lvlJc w:val="left"/>
      <w:lvlText w:val="(%1)"/>
      <w:numFmt w:val="lowerLetter"/>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10" Type="http://schemas.openxmlformats.org/officeDocument/2006/relationships/hyperlink" Target="http://www.sec.gov/ix?doc=/Archives/edgar/data/0001237831/000156276225000092/gmed-20250604x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2025-06-05T15:50:36Z</dcterms:created>
  <dcterms:modified xsi:type="dcterms:W3CDTF">2025-06-05T15:50:36Z</dcterms:modified>
</cp:coreProperties>
</file>